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31" w:rsidRDefault="006D6B31" w:rsidP="00B669E3">
      <w:pPr>
        <w:pStyle w:val="a3"/>
        <w:spacing w:line="270" w:lineRule="atLeast"/>
        <w:jc w:val="center"/>
        <w:rPr>
          <w:rFonts w:ascii="方正小标宋简体" w:eastAsia="方正小标宋简体"/>
          <w:sz w:val="44"/>
          <w:szCs w:val="44"/>
        </w:rPr>
      </w:pPr>
      <w:r w:rsidRPr="00B611B4">
        <w:rPr>
          <w:rFonts w:eastAsia="黑体"/>
          <w:b/>
          <w:color w:val="FF0000"/>
          <w:sz w:val="48"/>
          <w:szCs w:val="48"/>
          <w:u w:val="single"/>
        </w:rPr>
        <w:t xml:space="preserve">东　</w:t>
      </w:r>
      <w:proofErr w:type="gramStart"/>
      <w:r w:rsidRPr="00B611B4">
        <w:rPr>
          <w:rFonts w:eastAsia="黑体"/>
          <w:b/>
          <w:color w:val="FF0000"/>
          <w:sz w:val="48"/>
          <w:szCs w:val="48"/>
          <w:u w:val="single"/>
        </w:rPr>
        <w:t>莞</w:t>
      </w:r>
      <w:proofErr w:type="gramEnd"/>
      <w:r w:rsidRPr="00B611B4">
        <w:rPr>
          <w:rFonts w:eastAsia="黑体"/>
          <w:b/>
          <w:color w:val="FF0000"/>
          <w:sz w:val="48"/>
          <w:szCs w:val="48"/>
          <w:u w:val="single"/>
        </w:rPr>
        <w:t xml:space="preserve">　理　工　学　院　教　</w:t>
      </w:r>
      <w:proofErr w:type="gramStart"/>
      <w:r w:rsidRPr="00B611B4">
        <w:rPr>
          <w:rFonts w:eastAsia="黑体"/>
          <w:b/>
          <w:color w:val="FF0000"/>
          <w:sz w:val="48"/>
          <w:szCs w:val="48"/>
          <w:u w:val="single"/>
        </w:rPr>
        <w:t>务</w:t>
      </w:r>
      <w:proofErr w:type="gramEnd"/>
      <w:r w:rsidRPr="00B611B4">
        <w:rPr>
          <w:rFonts w:eastAsia="黑体"/>
          <w:b/>
          <w:color w:val="FF0000"/>
          <w:sz w:val="48"/>
          <w:szCs w:val="48"/>
          <w:u w:val="single"/>
        </w:rPr>
        <w:t xml:space="preserve">　处</w:t>
      </w:r>
    </w:p>
    <w:p w:rsidR="006D6B31" w:rsidRDefault="006D6B31" w:rsidP="006D6B31">
      <w:pPr>
        <w:wordWrap w:val="0"/>
        <w:spacing w:line="600" w:lineRule="exact"/>
        <w:jc w:val="right"/>
        <w:rPr>
          <w:rFonts w:ascii="仿宋_GB2312" w:eastAsia="仿宋_GB2312"/>
          <w:b/>
          <w:color w:val="FF0000"/>
          <w:kern w:val="0"/>
          <w:sz w:val="18"/>
          <w:szCs w:val="18"/>
        </w:rPr>
      </w:pP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教务[201</w:t>
      </w:r>
      <w:r w:rsidR="007301C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8</w:t>
      </w: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]</w:t>
      </w:r>
      <w:r w:rsidR="00771BA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5</w:t>
      </w:r>
      <w:r w:rsidR="00C00557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2</w:t>
      </w:r>
      <w:r w:rsidRPr="00B611B4">
        <w:rPr>
          <w:rFonts w:ascii="仿宋_GB2312" w:eastAsia="仿宋_GB2312" w:hint="eastAsia"/>
          <w:b/>
          <w:color w:val="FF0000"/>
          <w:kern w:val="0"/>
          <w:sz w:val="32"/>
          <w:szCs w:val="32"/>
        </w:rPr>
        <w:t>号</w:t>
      </w:r>
    </w:p>
    <w:p w:rsidR="006D6B31" w:rsidRDefault="006D6B31" w:rsidP="00DF633F">
      <w:pPr>
        <w:jc w:val="center"/>
        <w:rPr>
          <w:rFonts w:ascii="方正小标宋简体" w:eastAsia="方正小标宋简体" w:hAnsi="Calibri" w:cs="Times New Roman"/>
          <w:sz w:val="40"/>
        </w:rPr>
      </w:pPr>
    </w:p>
    <w:p w:rsidR="006A03A8" w:rsidRDefault="006A03A8" w:rsidP="006A03A8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仿宋_GB2312" w:eastAsia="仿宋_GB2312"/>
          <w:b/>
          <w:color w:val="000000"/>
          <w:sz w:val="44"/>
          <w:szCs w:val="44"/>
        </w:rPr>
      </w:pPr>
      <w:r w:rsidRPr="006A03A8">
        <w:rPr>
          <w:rFonts w:ascii="仿宋_GB2312" w:eastAsia="仿宋_GB2312" w:hint="eastAsia"/>
          <w:b/>
          <w:color w:val="000000"/>
          <w:sz w:val="44"/>
          <w:szCs w:val="44"/>
        </w:rPr>
        <w:t>关于做好2018年度广东省</w:t>
      </w:r>
    </w:p>
    <w:p w:rsidR="00985E43" w:rsidRDefault="006A03A8" w:rsidP="006A03A8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仿宋_GB2312" w:eastAsia="仿宋_GB2312"/>
          <w:color w:val="000000"/>
          <w:sz w:val="29"/>
          <w:szCs w:val="29"/>
        </w:rPr>
      </w:pPr>
      <w:r w:rsidRPr="006A03A8">
        <w:rPr>
          <w:rFonts w:ascii="仿宋_GB2312" w:eastAsia="仿宋_GB2312" w:hint="eastAsia"/>
          <w:b/>
          <w:color w:val="000000"/>
          <w:sz w:val="44"/>
          <w:szCs w:val="44"/>
        </w:rPr>
        <w:t>高等教育教学改革项目推荐工作的通知</w:t>
      </w:r>
    </w:p>
    <w:p w:rsidR="00A55F57" w:rsidRPr="00DF633F" w:rsidRDefault="00F97995" w:rsidP="00A55F57">
      <w:pPr>
        <w:pStyle w:val="a3"/>
        <w:shd w:val="clear" w:color="auto" w:fill="FFFFFF"/>
        <w:spacing w:before="0" w:beforeAutospacing="0" w:after="0" w:afterAutospacing="0" w:line="330" w:lineRule="atLeast"/>
        <w:rPr>
          <w:rFonts w:ascii="仿宋_GB2312" w:eastAsia="仿宋_GB2312"/>
          <w:color w:val="000000"/>
          <w:sz w:val="29"/>
          <w:szCs w:val="29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校内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各</w:t>
      </w:r>
      <w:r>
        <w:rPr>
          <w:rFonts w:ascii="仿宋_GB2312" w:eastAsia="仿宋_GB2312" w:hint="eastAsia"/>
          <w:color w:val="000000"/>
          <w:sz w:val="29"/>
          <w:szCs w:val="29"/>
        </w:rPr>
        <w:t>单位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：</w:t>
      </w:r>
    </w:p>
    <w:p w:rsidR="00A55F57" w:rsidRDefault="00A55F57" w:rsidP="009F7E76">
      <w:pPr>
        <w:ind w:firstLine="570"/>
        <w:jc w:val="left"/>
        <w:rPr>
          <w:rFonts w:ascii="仿宋_GB2312" w:eastAsia="仿宋_GB2312"/>
          <w:color w:val="000000"/>
          <w:sz w:val="29"/>
          <w:szCs w:val="29"/>
        </w:rPr>
      </w:pP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根据</w:t>
      </w:r>
      <w:r w:rsidR="00326E0A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《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广东省教育厅关于开展2018年度省高等教育教学改革项目推荐工作的通知</w:t>
      </w:r>
      <w:r w:rsidR="00326E0A" w:rsidRPr="00326E0A">
        <w:rPr>
          <w:rFonts w:ascii="仿宋_GB2312" w:eastAsia="仿宋_GB2312" w:hint="eastAsia"/>
          <w:color w:val="000000"/>
          <w:sz w:val="29"/>
          <w:szCs w:val="29"/>
        </w:rPr>
        <w:t>》</w:t>
      </w:r>
      <w:r>
        <w:rPr>
          <w:rFonts w:ascii="仿宋_GB2312" w:eastAsia="仿宋_GB2312" w:hint="eastAsia"/>
          <w:color w:val="000000"/>
          <w:sz w:val="29"/>
          <w:szCs w:val="29"/>
        </w:rPr>
        <w:t>（</w:t>
      </w:r>
      <w:r w:rsidR="00326E0A">
        <w:rPr>
          <w:rFonts w:ascii="仿宋_GB2312" w:eastAsia="仿宋_GB2312" w:hint="eastAsia"/>
          <w:color w:val="000000"/>
          <w:sz w:val="29"/>
          <w:szCs w:val="29"/>
        </w:rPr>
        <w:t>粤</w:t>
      </w:r>
      <w:proofErr w:type="gramStart"/>
      <w:r w:rsidR="00326E0A">
        <w:rPr>
          <w:rFonts w:ascii="仿宋_GB2312" w:eastAsia="仿宋_GB2312" w:hint="eastAsia"/>
          <w:color w:val="000000"/>
          <w:sz w:val="29"/>
          <w:szCs w:val="29"/>
        </w:rPr>
        <w:t>教高函</w:t>
      </w:r>
      <w:proofErr w:type="gramEnd"/>
      <w:r w:rsidR="00326E0A">
        <w:rPr>
          <w:rFonts w:ascii="仿宋_GB2312" w:eastAsia="仿宋_GB2312" w:hint="eastAsia"/>
          <w:color w:val="000000"/>
          <w:sz w:val="29"/>
          <w:szCs w:val="29"/>
        </w:rPr>
        <w:t>[2018]</w:t>
      </w:r>
      <w:r w:rsidR="009F7E76" w:rsidRPr="009F7E76">
        <w:rPr>
          <w:rFonts w:ascii="Times New Roman" w:eastAsia="仿宋_GB2312" w:hAnsi="Times New Roman"/>
          <w:sz w:val="32"/>
          <w:szCs w:val="32"/>
        </w:rPr>
        <w:t xml:space="preserve"> </w:t>
      </w:r>
      <w:r w:rsidR="009F7E76">
        <w:rPr>
          <w:rFonts w:ascii="Times New Roman" w:eastAsia="仿宋_GB2312" w:hAnsi="Times New Roman" w:cs="Times New Roman"/>
          <w:sz w:val="32"/>
          <w:szCs w:val="32"/>
        </w:rPr>
        <w:t>132</w:t>
      </w:r>
      <w:r w:rsidR="00326E0A">
        <w:rPr>
          <w:rFonts w:ascii="仿宋_GB2312" w:eastAsia="仿宋_GB2312" w:hint="eastAsia"/>
          <w:color w:val="000000"/>
          <w:sz w:val="29"/>
          <w:szCs w:val="29"/>
        </w:rPr>
        <w:t>号</w:t>
      </w:r>
      <w:r>
        <w:rPr>
          <w:rFonts w:ascii="仿宋_GB2312" w:eastAsia="仿宋_GB2312" w:hint="eastAsia"/>
          <w:color w:val="000000"/>
          <w:sz w:val="29"/>
          <w:szCs w:val="29"/>
        </w:rPr>
        <w:t>）（附件1）</w:t>
      </w:r>
      <w:r w:rsidR="00E317A9">
        <w:rPr>
          <w:rFonts w:ascii="仿宋_GB2312" w:eastAsia="仿宋_GB2312" w:hint="eastAsia"/>
          <w:color w:val="000000"/>
          <w:sz w:val="29"/>
          <w:szCs w:val="29"/>
        </w:rPr>
        <w:t>精神</w:t>
      </w:r>
      <w:r w:rsidR="009F7E76">
        <w:rPr>
          <w:rFonts w:ascii="仿宋_GB2312" w:eastAsia="仿宋_GB2312" w:hint="eastAsia"/>
          <w:color w:val="000000"/>
          <w:sz w:val="29"/>
          <w:szCs w:val="29"/>
        </w:rPr>
        <w:t>（以下简称省教改项目），</w:t>
      </w:r>
      <w:r>
        <w:rPr>
          <w:rFonts w:ascii="仿宋_GB2312" w:eastAsia="仿宋_GB2312" w:hint="eastAsia"/>
          <w:color w:val="000000"/>
          <w:sz w:val="29"/>
          <w:szCs w:val="29"/>
        </w:rPr>
        <w:t>现就我校201</w:t>
      </w:r>
      <w:r w:rsidR="00326E0A">
        <w:rPr>
          <w:rFonts w:ascii="仿宋_GB2312" w:eastAsia="仿宋_GB2312" w:hint="eastAsia"/>
          <w:color w:val="000000"/>
          <w:sz w:val="29"/>
          <w:szCs w:val="29"/>
        </w:rPr>
        <w:t>8</w:t>
      </w:r>
      <w:r>
        <w:rPr>
          <w:rFonts w:ascii="仿宋_GB2312" w:eastAsia="仿宋_GB2312" w:hint="eastAsia"/>
          <w:color w:val="000000"/>
          <w:sz w:val="29"/>
          <w:szCs w:val="29"/>
        </w:rPr>
        <w:t>年度省</w:t>
      </w:r>
      <w:r w:rsidR="009F7E76">
        <w:rPr>
          <w:rFonts w:ascii="仿宋_GB2312" w:eastAsia="仿宋_GB2312" w:hint="eastAsia"/>
          <w:color w:val="000000"/>
          <w:sz w:val="29"/>
          <w:szCs w:val="29"/>
        </w:rPr>
        <w:t>教改</w:t>
      </w:r>
      <w:r>
        <w:rPr>
          <w:rFonts w:ascii="仿宋_GB2312" w:eastAsia="仿宋_GB2312" w:hint="eastAsia"/>
          <w:color w:val="000000"/>
          <w:sz w:val="29"/>
          <w:szCs w:val="29"/>
        </w:rPr>
        <w:t>项目申报推荐工作通知如下：</w:t>
      </w:r>
    </w:p>
    <w:p w:rsidR="009F7E76" w:rsidRPr="00DF633F" w:rsidRDefault="009F7E76" w:rsidP="009F7E76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rFonts w:ascii="仿宋_GB2312" w:eastAsia="仿宋_GB2312"/>
          <w:b/>
          <w:bCs/>
          <w:color w:val="000000"/>
          <w:sz w:val="29"/>
          <w:szCs w:val="29"/>
        </w:rPr>
      </w:pPr>
      <w:r>
        <w:rPr>
          <w:rStyle w:val="a4"/>
          <w:rFonts w:ascii="仿宋_GB2312" w:eastAsia="仿宋_GB2312" w:hint="eastAsia"/>
          <w:color w:val="000000"/>
          <w:sz w:val="29"/>
          <w:szCs w:val="29"/>
        </w:rPr>
        <w:t>一</w:t>
      </w:r>
      <w:r w:rsidRPr="00DF633F">
        <w:rPr>
          <w:rStyle w:val="a4"/>
          <w:rFonts w:ascii="仿宋_GB2312" w:eastAsia="仿宋_GB2312" w:hint="eastAsia"/>
          <w:color w:val="000000"/>
          <w:sz w:val="29"/>
          <w:szCs w:val="29"/>
        </w:rPr>
        <w:t>、项目类别</w:t>
      </w:r>
    </w:p>
    <w:p w:rsidR="009F7E76" w:rsidRPr="00C467C5" w:rsidRDefault="009F7E76" w:rsidP="00C467C5">
      <w:pPr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本年度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教改项目分为综合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类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和一般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类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两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种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。综合类教改项目主要围绕全省或学校教学改革重点领域（见</w:t>
      </w:r>
      <w:proofErr w:type="gramStart"/>
      <w:r w:rsidR="00C467C5"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省通知</w:t>
      </w:r>
      <w:proofErr w:type="gramEnd"/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附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件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1）开展，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力图研究和解决专业领域、学校乃至全省的普遍性问题。</w:t>
      </w:r>
    </w:p>
    <w:p w:rsidR="009F7E76" w:rsidRPr="00C467C5" w:rsidRDefault="009F7E76" w:rsidP="00C467C5">
      <w:pPr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一般类教改项目主要面向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一线教师特别是中青年教师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，针对教学过程中的具体问题开展研究和改革实践。一般类教改项目所占本校教改项目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总体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比例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须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不低于7</w:t>
      </w:r>
      <w:r w:rsidRPr="00C467C5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0</w:t>
      </w:r>
      <w:r w:rsidRPr="00C467C5">
        <w:rPr>
          <w:rFonts w:ascii="仿宋_GB2312" w:eastAsia="仿宋_GB2312" w:hAnsi="宋体" w:cs="宋体"/>
          <w:color w:val="000000"/>
          <w:kern w:val="0"/>
          <w:sz w:val="29"/>
          <w:szCs w:val="29"/>
        </w:rPr>
        <w:t>%。</w:t>
      </w:r>
    </w:p>
    <w:p w:rsidR="00A55F57" w:rsidRDefault="00A55F57" w:rsidP="00A55F57">
      <w:pPr>
        <w:pStyle w:val="a3"/>
        <w:shd w:val="clear" w:color="auto" w:fill="FFFFFF"/>
        <w:spacing w:before="0" w:beforeAutospacing="0" w:after="0" w:afterAutospacing="0" w:line="330" w:lineRule="atLeast"/>
        <w:ind w:firstLine="55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 </w:t>
      </w:r>
      <w:r w:rsidR="00C467C5">
        <w:rPr>
          <w:rStyle w:val="a4"/>
          <w:rFonts w:ascii="仿宋_GB2312" w:eastAsia="仿宋_GB2312" w:hint="eastAsia"/>
          <w:color w:val="000000"/>
          <w:sz w:val="29"/>
          <w:szCs w:val="29"/>
        </w:rPr>
        <w:t>二</w:t>
      </w:r>
      <w:r>
        <w:rPr>
          <w:rStyle w:val="a4"/>
          <w:rFonts w:ascii="仿宋_GB2312" w:eastAsia="仿宋_GB2312" w:hint="eastAsia"/>
          <w:color w:val="000000"/>
          <w:sz w:val="29"/>
          <w:szCs w:val="29"/>
        </w:rPr>
        <w:t>、推荐立项条件</w:t>
      </w:r>
    </w:p>
    <w:p w:rsidR="007301C4" w:rsidRDefault="009F7E76" w:rsidP="009F7E76">
      <w:pPr>
        <w:autoSpaceDE w:val="0"/>
        <w:autoSpaceDN w:val="0"/>
        <w:adjustRightInd w:val="0"/>
        <w:ind w:firstLineChars="200" w:firstLine="580"/>
        <w:rPr>
          <w:rFonts w:ascii="仿宋_GB2312" w:eastAsia="仿宋_GB2312"/>
          <w:color w:val="000000"/>
          <w:sz w:val="29"/>
          <w:szCs w:val="29"/>
        </w:rPr>
      </w:pP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推荐项目不要求一定是校级立项项目，但必须得到学校充分的资金保障和政策支持，且应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突出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当前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高等教育教学改革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热点、重点和难点问题。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特别是围绕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巩固和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加强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本科教学中心地位、教学激励机制和保障体系建设、专业评估与认证、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卓越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（应用型）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人才培养、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lastRenderedPageBreak/>
        <w:t>创新创业教育、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新师范、新工科、</w:t>
      </w:r>
      <w:r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校企合作产教融合等方面，</w:t>
      </w:r>
      <w:r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进行深入的研究和探索。</w:t>
      </w:r>
      <w:r w:rsidR="007301C4" w:rsidRPr="007301C4">
        <w:rPr>
          <w:rFonts w:ascii="仿宋_GB2312" w:eastAsia="仿宋_GB2312" w:hint="eastAsia"/>
          <w:color w:val="000000"/>
          <w:sz w:val="29"/>
          <w:szCs w:val="29"/>
        </w:rPr>
        <w:t>项目负责人</w:t>
      </w:r>
      <w:r>
        <w:rPr>
          <w:rFonts w:ascii="仿宋_GB2312" w:eastAsia="仿宋_GB2312" w:hint="eastAsia"/>
          <w:color w:val="000000"/>
          <w:sz w:val="29"/>
          <w:szCs w:val="29"/>
        </w:rPr>
        <w:t>需符合以下条件：</w:t>
      </w:r>
    </w:p>
    <w:p w:rsidR="009F7E76" w:rsidRDefault="00A45CE6" w:rsidP="009F7E76">
      <w:pPr>
        <w:autoSpaceDE w:val="0"/>
        <w:autoSpaceDN w:val="0"/>
        <w:adjustRightInd w:val="0"/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1.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省级教改项目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负责人须具有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中级及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以上职称，已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从事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高等教育教学工作3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年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以上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（时间计算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截至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201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8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年8月31日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），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能够组织相关教学资源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和团队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独立完成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项目建设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，原则上，负责人在项目结题验收前不得更换。</w:t>
      </w:r>
    </w:p>
    <w:p w:rsidR="009F7E76" w:rsidRPr="009F7E76" w:rsidRDefault="00A45CE6" w:rsidP="009F7E76">
      <w:pPr>
        <w:autoSpaceDE w:val="0"/>
        <w:autoSpaceDN w:val="0"/>
        <w:adjustRightInd w:val="0"/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2.</w:t>
      </w:r>
      <w:r w:rsid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负责人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所主持项目在2016年度省质量工程建设项目验收中列为“不通过”及在2017年度省级验收中列为“不通过”或“暂缓通过”的，不得作为负责人申报项目。截至本</w:t>
      </w:r>
      <w:r w:rsid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通知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印发之日，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所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主持省教改项目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尚未校内结题验收的，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不得再次作为项目负责人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 xml:space="preserve">申报。 </w:t>
      </w:r>
    </w:p>
    <w:p w:rsidR="009F7E76" w:rsidRDefault="00A45CE6" w:rsidP="009F7E76">
      <w:pPr>
        <w:autoSpaceDE w:val="0"/>
        <w:autoSpaceDN w:val="0"/>
        <w:adjustRightInd w:val="0"/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3.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综合类教改项目由学校相关专业负</w:t>
      </w:r>
      <w:bookmarkStart w:id="0" w:name="_GoBack"/>
      <w:bookmarkEnd w:id="0"/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责人或校、院负责人牵头申报并组织实施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；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一般类教改项目主要由学校教学一线教师牵头申报并组织实施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，重点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支持中青年一线教师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的项目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研究和</w:t>
      </w:r>
      <w:r w:rsidR="009F7E76" w:rsidRPr="009F7E76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实践</w:t>
      </w:r>
      <w:r w:rsidR="009F7E76" w:rsidRPr="009F7E76">
        <w:rPr>
          <w:rFonts w:ascii="仿宋_GB2312" w:eastAsia="仿宋_GB2312" w:hAnsi="宋体" w:cs="宋体"/>
          <w:color w:val="000000"/>
          <w:kern w:val="0"/>
          <w:sz w:val="29"/>
          <w:szCs w:val="29"/>
        </w:rPr>
        <w:t>。</w:t>
      </w:r>
    </w:p>
    <w:p w:rsidR="009F7E76" w:rsidRPr="009F7E76" w:rsidRDefault="009F7E76" w:rsidP="009F7E76">
      <w:pPr>
        <w:autoSpaceDE w:val="0"/>
        <w:autoSpaceDN w:val="0"/>
        <w:adjustRightInd w:val="0"/>
        <w:ind w:firstLineChars="200" w:firstLine="580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</w:p>
    <w:p w:rsidR="00A55F57" w:rsidRDefault="00A55F57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color w:val="000000"/>
          <w:sz w:val="18"/>
          <w:szCs w:val="18"/>
        </w:rPr>
      </w:pPr>
      <w:r>
        <w:rPr>
          <w:rStyle w:val="a4"/>
          <w:rFonts w:ascii="仿宋_GB2312" w:eastAsia="仿宋_GB2312" w:hint="eastAsia"/>
          <w:color w:val="000000"/>
          <w:sz w:val="29"/>
          <w:szCs w:val="29"/>
        </w:rPr>
        <w:t>三、申报推荐程序</w:t>
      </w:r>
    </w:p>
    <w:p w:rsidR="00A55F57" w:rsidRDefault="00A55F57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rFonts w:ascii="仿宋_GB2312" w:eastAsia="仿宋_GB2312"/>
          <w:color w:val="000000"/>
          <w:sz w:val="29"/>
          <w:szCs w:val="29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1.报送申报材料。请各申报单位于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9</w:t>
      </w:r>
      <w:r>
        <w:rPr>
          <w:rFonts w:ascii="仿宋_GB2312" w:eastAsia="仿宋_GB2312" w:hint="eastAsia"/>
          <w:color w:val="000000"/>
          <w:sz w:val="29"/>
          <w:szCs w:val="29"/>
        </w:rPr>
        <w:t>月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15</w:t>
      </w:r>
      <w:r>
        <w:rPr>
          <w:rFonts w:ascii="仿宋_GB2312" w:eastAsia="仿宋_GB2312" w:hint="eastAsia"/>
          <w:color w:val="000000"/>
          <w:sz w:val="29"/>
          <w:szCs w:val="29"/>
        </w:rPr>
        <w:t>日前将项目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材料</w:t>
      </w:r>
      <w:r>
        <w:rPr>
          <w:rFonts w:ascii="仿宋_GB2312" w:eastAsia="仿宋_GB2312" w:hint="eastAsia"/>
          <w:color w:val="000000"/>
          <w:sz w:val="29"/>
          <w:szCs w:val="29"/>
        </w:rPr>
        <w:t>纸质</w:t>
      </w:r>
      <w:r w:rsidR="009219C1">
        <w:rPr>
          <w:rFonts w:ascii="仿宋_GB2312" w:eastAsia="仿宋_GB2312" w:hint="eastAsia"/>
          <w:color w:val="000000"/>
          <w:sz w:val="29"/>
          <w:szCs w:val="29"/>
        </w:rPr>
        <w:t>申请书</w:t>
      </w:r>
      <w:r>
        <w:rPr>
          <w:rFonts w:ascii="仿宋_GB2312" w:eastAsia="仿宋_GB2312" w:hint="eastAsia"/>
          <w:color w:val="000000"/>
          <w:sz w:val="29"/>
          <w:szCs w:val="29"/>
        </w:rPr>
        <w:t>一式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一</w:t>
      </w:r>
      <w:r>
        <w:rPr>
          <w:rFonts w:ascii="仿宋_GB2312" w:eastAsia="仿宋_GB2312" w:hint="eastAsia"/>
          <w:color w:val="000000"/>
          <w:sz w:val="29"/>
          <w:szCs w:val="29"/>
        </w:rPr>
        <w:t>份</w:t>
      </w:r>
      <w:r w:rsidR="00830006">
        <w:rPr>
          <w:rFonts w:ascii="仿宋_GB2312" w:eastAsia="仿宋_GB2312" w:hint="eastAsia"/>
          <w:color w:val="000000"/>
          <w:sz w:val="29"/>
          <w:szCs w:val="29"/>
        </w:rPr>
        <w:t>（附件</w:t>
      </w:r>
      <w:r w:rsidR="009219C1">
        <w:rPr>
          <w:rFonts w:ascii="仿宋_GB2312" w:eastAsia="仿宋_GB2312" w:hint="eastAsia"/>
          <w:color w:val="000000"/>
          <w:sz w:val="29"/>
          <w:szCs w:val="29"/>
        </w:rPr>
        <w:t>2</w:t>
      </w:r>
      <w:r w:rsidR="00830006">
        <w:rPr>
          <w:rFonts w:ascii="仿宋_GB2312" w:eastAsia="仿宋_GB2312" w:hint="eastAsia"/>
          <w:color w:val="000000"/>
          <w:sz w:val="29"/>
          <w:szCs w:val="29"/>
        </w:rPr>
        <w:t>）</w:t>
      </w:r>
      <w:r>
        <w:rPr>
          <w:rFonts w:ascii="仿宋_GB2312" w:eastAsia="仿宋_GB2312" w:hint="eastAsia"/>
          <w:color w:val="000000"/>
          <w:sz w:val="29"/>
          <w:szCs w:val="29"/>
        </w:rPr>
        <w:t>和本单位申报项目汇总表（</w:t>
      </w:r>
      <w:r w:rsidR="00830006">
        <w:rPr>
          <w:rFonts w:ascii="仿宋_GB2312" w:eastAsia="仿宋_GB2312" w:hint="eastAsia"/>
          <w:color w:val="000000"/>
          <w:sz w:val="29"/>
          <w:szCs w:val="29"/>
        </w:rPr>
        <w:t>附件</w:t>
      </w:r>
      <w:r w:rsidR="00E40EB9">
        <w:rPr>
          <w:rFonts w:ascii="仿宋_GB2312" w:eastAsia="仿宋_GB2312" w:hint="eastAsia"/>
          <w:color w:val="000000"/>
          <w:sz w:val="29"/>
          <w:szCs w:val="29"/>
        </w:rPr>
        <w:t>3</w:t>
      </w:r>
      <w:r>
        <w:rPr>
          <w:rFonts w:ascii="仿宋_GB2312" w:eastAsia="仿宋_GB2312" w:hint="eastAsia"/>
          <w:color w:val="000000"/>
          <w:sz w:val="29"/>
          <w:szCs w:val="29"/>
        </w:rPr>
        <w:t>）一份报送教务处教研科，同时发送申报书和汇总表电子版至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22265071</w:t>
      </w:r>
      <w:r>
        <w:rPr>
          <w:rFonts w:ascii="仿宋_GB2312" w:eastAsia="仿宋_GB2312" w:hint="eastAsia"/>
          <w:color w:val="000000"/>
          <w:sz w:val="29"/>
          <w:szCs w:val="29"/>
        </w:rPr>
        <w:t>@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qq</w:t>
      </w:r>
      <w:r>
        <w:rPr>
          <w:rFonts w:ascii="仿宋_GB2312" w:eastAsia="仿宋_GB2312" w:hint="eastAsia"/>
          <w:color w:val="000000"/>
          <w:sz w:val="29"/>
          <w:szCs w:val="29"/>
        </w:rPr>
        <w:t>.com</w:t>
      </w:r>
      <w:r w:rsidR="00B20738">
        <w:rPr>
          <w:rFonts w:ascii="仿宋_GB2312" w:eastAsia="仿宋_GB2312" w:hint="eastAsia"/>
          <w:color w:val="000000"/>
          <w:sz w:val="29"/>
          <w:szCs w:val="29"/>
        </w:rPr>
        <w:t xml:space="preserve">, 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并将</w:t>
      </w:r>
      <w:r w:rsidR="00FA0C12">
        <w:rPr>
          <w:rFonts w:ascii="仿宋_GB2312" w:eastAsia="仿宋_GB2312" w:hint="eastAsia"/>
          <w:color w:val="000000"/>
          <w:sz w:val="29"/>
          <w:szCs w:val="29"/>
        </w:rPr>
        <w:t>申报书</w:t>
      </w:r>
      <w:proofErr w:type="spellStart"/>
      <w:r w:rsidR="00FB1707" w:rsidRPr="00FB1707">
        <w:rPr>
          <w:rFonts w:ascii="仿宋_GB2312" w:eastAsia="仿宋_GB2312"/>
          <w:color w:val="000000"/>
          <w:sz w:val="29"/>
          <w:szCs w:val="29"/>
        </w:rPr>
        <w:t>pdf</w:t>
      </w:r>
      <w:proofErr w:type="spellEnd"/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版本于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9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月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15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日晚上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12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点前上传到</w:t>
      </w:r>
      <w:r w:rsidR="00FB1707">
        <w:rPr>
          <w:rFonts w:ascii="仿宋_GB2312" w:eastAsia="仿宋_GB2312" w:hint="eastAsia"/>
          <w:b/>
          <w:bCs/>
          <w:color w:val="000000"/>
          <w:sz w:val="29"/>
          <w:szCs w:val="29"/>
        </w:rPr>
        <w:t>东莞理工学院</w:t>
      </w:r>
      <w:r w:rsidR="00FB1707" w:rsidRPr="00FB1707">
        <w:rPr>
          <w:rFonts w:ascii="仿宋_GB2312" w:eastAsia="仿宋_GB2312" w:hint="eastAsia"/>
          <w:b/>
          <w:bCs/>
          <w:color w:val="000000"/>
          <w:sz w:val="29"/>
          <w:szCs w:val="29"/>
        </w:rPr>
        <w:t>质量工程申报系统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（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http://dglgxy.zlgc2.chaoxing.com/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）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,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登录</w:t>
      </w:r>
      <w:proofErr w:type="gramStart"/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帐号</w:t>
      </w:r>
      <w:proofErr w:type="gramEnd"/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是工号，初始密码是：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123456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，登录过的即为修改后的密码</w:t>
      </w:r>
      <w:r w:rsidR="00B20738">
        <w:rPr>
          <w:rFonts w:ascii="仿宋_GB2312" w:eastAsia="仿宋_GB2312" w:hint="eastAsia"/>
          <w:color w:val="000000"/>
          <w:sz w:val="29"/>
          <w:szCs w:val="29"/>
        </w:rPr>
        <w:t>，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t>如无法登录，可留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lastRenderedPageBreak/>
        <w:t>言咨询网站客服（点击网页右下方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t>“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t>耳机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t>”</w:t>
      </w:r>
      <w:r w:rsidR="00B20738" w:rsidRPr="00B20738">
        <w:rPr>
          <w:rFonts w:ascii="仿宋_GB2312" w:eastAsia="仿宋_GB2312"/>
          <w:color w:val="000000"/>
          <w:sz w:val="29"/>
          <w:szCs w:val="29"/>
        </w:rPr>
        <w:t>图标）</w:t>
      </w:r>
      <w:r w:rsidR="00B20738" w:rsidRPr="00B20738">
        <w:rPr>
          <w:rFonts w:ascii="仿宋_GB2312" w:eastAsia="仿宋_GB2312" w:hint="eastAsia"/>
          <w:color w:val="000000"/>
          <w:sz w:val="29"/>
          <w:szCs w:val="29"/>
        </w:rPr>
        <w:t>。</w:t>
      </w:r>
      <w:r w:rsidR="00741702">
        <w:rPr>
          <w:rFonts w:ascii="仿宋_GB2312" w:eastAsia="仿宋_GB2312" w:hint="eastAsia"/>
          <w:color w:val="000000"/>
          <w:sz w:val="29"/>
          <w:szCs w:val="29"/>
        </w:rPr>
        <w:t>填报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系统统一在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9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月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15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日晚上</w:t>
      </w:r>
      <w:r w:rsidR="00FB1707" w:rsidRPr="00FB1707">
        <w:rPr>
          <w:rFonts w:ascii="仿宋_GB2312" w:eastAsia="仿宋_GB2312"/>
          <w:color w:val="000000"/>
          <w:sz w:val="29"/>
          <w:szCs w:val="29"/>
        </w:rPr>
        <w:t>12</w:t>
      </w:r>
      <w:r w:rsidR="00FB1707" w:rsidRPr="00FB1707">
        <w:rPr>
          <w:rFonts w:ascii="仿宋_GB2312" w:eastAsia="仿宋_GB2312" w:hint="eastAsia"/>
          <w:color w:val="000000"/>
          <w:sz w:val="29"/>
          <w:szCs w:val="29"/>
        </w:rPr>
        <w:t>点关闭。</w:t>
      </w:r>
      <w:r>
        <w:rPr>
          <w:rFonts w:ascii="仿宋_GB2312" w:eastAsia="仿宋_GB2312" w:hint="eastAsia"/>
          <w:color w:val="000000"/>
          <w:sz w:val="29"/>
          <w:szCs w:val="29"/>
        </w:rPr>
        <w:t>逾期不再</w:t>
      </w:r>
      <w:r w:rsidR="00B20738">
        <w:rPr>
          <w:rFonts w:ascii="仿宋_GB2312" w:eastAsia="仿宋_GB2312" w:hint="eastAsia"/>
          <w:color w:val="000000"/>
          <w:sz w:val="29"/>
          <w:szCs w:val="29"/>
        </w:rPr>
        <w:t>受理</w:t>
      </w:r>
      <w:r>
        <w:rPr>
          <w:rFonts w:ascii="仿宋_GB2312" w:eastAsia="仿宋_GB2312" w:hint="eastAsia"/>
          <w:color w:val="000000"/>
          <w:sz w:val="29"/>
          <w:szCs w:val="29"/>
        </w:rPr>
        <w:t>。</w:t>
      </w:r>
    </w:p>
    <w:p w:rsidR="00A55F57" w:rsidRPr="00372532" w:rsidRDefault="00A55F57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rFonts w:ascii="仿宋_GB2312" w:eastAsia="仿宋_GB2312"/>
          <w:color w:val="000000"/>
          <w:sz w:val="29"/>
          <w:szCs w:val="29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2.资格审查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与专家论证</w:t>
      </w:r>
      <w:r>
        <w:rPr>
          <w:rFonts w:ascii="仿宋_GB2312" w:eastAsia="仿宋_GB2312" w:hint="eastAsia"/>
          <w:color w:val="000000"/>
          <w:sz w:val="29"/>
          <w:szCs w:val="29"/>
        </w:rPr>
        <w:t>。教务处会同相关部门于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9</w:t>
      </w:r>
      <w:r>
        <w:rPr>
          <w:rFonts w:ascii="仿宋_GB2312" w:eastAsia="仿宋_GB2312" w:hint="eastAsia"/>
          <w:color w:val="000000"/>
          <w:sz w:val="29"/>
          <w:szCs w:val="29"/>
        </w:rPr>
        <w:t>月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25</w:t>
      </w:r>
      <w:r>
        <w:rPr>
          <w:rFonts w:ascii="仿宋_GB2312" w:eastAsia="仿宋_GB2312" w:hint="eastAsia"/>
          <w:color w:val="000000"/>
          <w:sz w:val="29"/>
          <w:szCs w:val="29"/>
        </w:rPr>
        <w:t>日完成申报资格审查</w:t>
      </w:r>
      <w:r w:rsidR="00C467C5">
        <w:rPr>
          <w:rFonts w:ascii="仿宋_GB2312" w:eastAsia="仿宋_GB2312" w:hint="eastAsia"/>
          <w:color w:val="000000"/>
          <w:sz w:val="29"/>
          <w:szCs w:val="29"/>
        </w:rPr>
        <w:t>，并组织相关</w:t>
      </w:r>
      <w:r>
        <w:rPr>
          <w:rFonts w:ascii="仿宋_GB2312" w:eastAsia="仿宋_GB2312" w:hint="eastAsia"/>
          <w:color w:val="000000"/>
          <w:sz w:val="29"/>
          <w:szCs w:val="29"/>
        </w:rPr>
        <w:t>专家论证</w:t>
      </w:r>
      <w:r w:rsidR="00372532">
        <w:rPr>
          <w:rFonts w:ascii="仿宋_GB2312" w:eastAsia="仿宋_GB2312" w:hint="eastAsia"/>
          <w:color w:val="000000"/>
          <w:sz w:val="29"/>
          <w:szCs w:val="29"/>
        </w:rPr>
        <w:t>，</w:t>
      </w:r>
      <w:r w:rsidR="00372532" w:rsidRPr="00372532">
        <w:rPr>
          <w:rFonts w:ascii="仿宋_GB2312" w:eastAsia="仿宋_GB2312" w:hint="eastAsia"/>
          <w:color w:val="000000"/>
          <w:sz w:val="29"/>
          <w:szCs w:val="29"/>
        </w:rPr>
        <w:t>择优推荐1</w:t>
      </w:r>
      <w:r w:rsidR="00372532">
        <w:rPr>
          <w:rFonts w:ascii="仿宋_GB2312" w:eastAsia="仿宋_GB2312" w:hint="eastAsia"/>
          <w:color w:val="000000"/>
          <w:sz w:val="29"/>
          <w:szCs w:val="29"/>
        </w:rPr>
        <w:t>5</w:t>
      </w:r>
      <w:r w:rsidR="00372532" w:rsidRPr="00372532">
        <w:rPr>
          <w:rFonts w:ascii="仿宋_GB2312" w:eastAsia="仿宋_GB2312" w:hint="eastAsia"/>
          <w:color w:val="000000"/>
          <w:sz w:val="29"/>
          <w:szCs w:val="29"/>
        </w:rPr>
        <w:t>项</w:t>
      </w:r>
      <w:r>
        <w:rPr>
          <w:rFonts w:ascii="仿宋_GB2312" w:eastAsia="仿宋_GB2312" w:hint="eastAsia"/>
          <w:color w:val="000000"/>
          <w:sz w:val="29"/>
          <w:szCs w:val="29"/>
        </w:rPr>
        <w:t>。</w:t>
      </w:r>
    </w:p>
    <w:p w:rsidR="00A55F57" w:rsidRDefault="00C467C5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3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.学校公示、审定、上报。</w:t>
      </w:r>
      <w:r>
        <w:rPr>
          <w:rFonts w:ascii="仿宋_GB2312" w:eastAsia="仿宋_GB2312" w:hint="eastAsia"/>
          <w:color w:val="000000"/>
          <w:sz w:val="29"/>
          <w:szCs w:val="29"/>
        </w:rPr>
        <w:t>10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月</w:t>
      </w:r>
      <w:r>
        <w:rPr>
          <w:rFonts w:ascii="仿宋_GB2312" w:eastAsia="仿宋_GB2312" w:hint="eastAsia"/>
          <w:color w:val="000000"/>
          <w:sz w:val="29"/>
          <w:szCs w:val="29"/>
        </w:rPr>
        <w:t>1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日前完成学校公示、审定、公文上报。</w:t>
      </w:r>
    </w:p>
    <w:p w:rsidR="00A55F57" w:rsidRDefault="00C467C5" w:rsidP="00DF633F">
      <w:pPr>
        <w:pStyle w:val="a3"/>
        <w:shd w:val="clear" w:color="auto" w:fill="FFFFFF"/>
        <w:spacing w:before="0" w:beforeAutospacing="0" w:after="0" w:afterAutospacing="0" w:line="270" w:lineRule="atLeast"/>
        <w:ind w:firstLineChars="194" w:firstLine="563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4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.项目录入。获推荐资格的项目负责人（主持人）于</w:t>
      </w:r>
      <w:r>
        <w:rPr>
          <w:rFonts w:ascii="仿宋_GB2312" w:eastAsia="仿宋_GB2312" w:hint="eastAsia"/>
          <w:color w:val="000000"/>
          <w:sz w:val="29"/>
          <w:szCs w:val="29"/>
        </w:rPr>
        <w:t>10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月</w:t>
      </w:r>
      <w:r>
        <w:rPr>
          <w:rFonts w:ascii="仿宋_GB2312" w:eastAsia="仿宋_GB2312" w:hint="eastAsia"/>
          <w:color w:val="000000"/>
          <w:sz w:val="29"/>
          <w:szCs w:val="29"/>
        </w:rPr>
        <w:t>1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日—</w:t>
      </w:r>
      <w:r>
        <w:rPr>
          <w:rFonts w:ascii="仿宋_GB2312" w:eastAsia="仿宋_GB2312" w:hint="eastAsia"/>
          <w:color w:val="000000"/>
          <w:sz w:val="29"/>
          <w:szCs w:val="29"/>
        </w:rPr>
        <w:t>10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月</w:t>
      </w:r>
      <w:r>
        <w:rPr>
          <w:rFonts w:ascii="仿宋_GB2312" w:eastAsia="仿宋_GB2312" w:hint="eastAsia"/>
          <w:color w:val="000000"/>
          <w:sz w:val="29"/>
          <w:szCs w:val="29"/>
        </w:rPr>
        <w:t>10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日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>前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登陆</w:t>
      </w:r>
      <w:r w:rsidR="00066A49" w:rsidRPr="00066A49">
        <w:rPr>
          <w:rFonts w:ascii="仿宋_GB2312" w:eastAsia="仿宋_GB2312" w:hint="eastAsia"/>
          <w:color w:val="000000"/>
          <w:sz w:val="29"/>
          <w:szCs w:val="29"/>
        </w:rPr>
        <w:t>广东省教育厅教学类项目管理平台（</w:t>
      </w:r>
      <w:r w:rsidR="002F3554" w:rsidRPr="002F3554">
        <w:rPr>
          <w:rFonts w:ascii="仿宋_GB2312" w:eastAsia="仿宋_GB2312" w:hint="eastAsia"/>
          <w:color w:val="000000"/>
          <w:sz w:val="29"/>
          <w:szCs w:val="29"/>
        </w:rPr>
        <w:t>http://gjc.scnu.edu.cn</w:t>
      </w:r>
      <w:r w:rsidR="00066A49" w:rsidRPr="00066A49">
        <w:rPr>
          <w:rFonts w:ascii="仿宋_GB2312" w:eastAsia="仿宋_GB2312" w:hint="eastAsia"/>
          <w:color w:val="000000"/>
          <w:sz w:val="29"/>
          <w:szCs w:val="29"/>
        </w:rPr>
        <w:t>）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，填报并上</w:t>
      </w:r>
      <w:proofErr w:type="gramStart"/>
      <w:r w:rsidR="00A55F57">
        <w:rPr>
          <w:rFonts w:ascii="仿宋_GB2312" w:eastAsia="仿宋_GB2312" w:hint="eastAsia"/>
          <w:color w:val="000000"/>
          <w:sz w:val="29"/>
          <w:szCs w:val="29"/>
        </w:rPr>
        <w:t>传相关</w:t>
      </w:r>
      <w:proofErr w:type="gramEnd"/>
      <w:r w:rsidR="00A55F57">
        <w:rPr>
          <w:rFonts w:ascii="仿宋_GB2312" w:eastAsia="仿宋_GB2312" w:hint="eastAsia"/>
          <w:color w:val="000000"/>
          <w:sz w:val="29"/>
          <w:szCs w:val="29"/>
        </w:rPr>
        <w:t>推荐资料</w:t>
      </w:r>
      <w:r w:rsidR="00F2018B" w:rsidRPr="00F2018B">
        <w:rPr>
          <w:rFonts w:ascii="仿宋_GB2312" w:eastAsia="仿宋_GB2312" w:hint="eastAsia"/>
          <w:b/>
          <w:color w:val="000000"/>
          <w:sz w:val="29"/>
          <w:szCs w:val="29"/>
        </w:rPr>
        <w:t>（含佐证材料）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。具体材料按</w:t>
      </w:r>
      <w:r w:rsidR="002713FC">
        <w:rPr>
          <w:rFonts w:ascii="仿宋_GB2312" w:eastAsia="仿宋_GB2312" w:hint="eastAsia"/>
          <w:color w:val="000000"/>
          <w:sz w:val="29"/>
          <w:szCs w:val="29"/>
        </w:rPr>
        <w:t>网上填报</w:t>
      </w:r>
      <w:r w:rsidR="00A55F57">
        <w:rPr>
          <w:rFonts w:ascii="仿宋_GB2312" w:eastAsia="仿宋_GB2312" w:hint="eastAsia"/>
          <w:color w:val="000000"/>
          <w:sz w:val="29"/>
          <w:szCs w:val="29"/>
        </w:rPr>
        <w:t>系统公告执行。</w:t>
      </w:r>
      <w:r w:rsidR="00066A49">
        <w:rPr>
          <w:rFonts w:ascii="仿宋_GB2312" w:eastAsia="仿宋_GB2312" w:hint="eastAsia"/>
          <w:color w:val="000000"/>
          <w:sz w:val="29"/>
          <w:szCs w:val="29"/>
        </w:rPr>
        <w:t xml:space="preserve"> </w:t>
      </w:r>
    </w:p>
    <w:p w:rsidR="00A55F57" w:rsidRDefault="00A55F57" w:rsidP="00DF633F">
      <w:pPr>
        <w:pStyle w:val="a3"/>
        <w:shd w:val="clear" w:color="auto" w:fill="FFFFFF"/>
        <w:spacing w:before="0" w:beforeAutospacing="0" w:after="0" w:afterAutospacing="0" w:line="270" w:lineRule="atLeast"/>
        <w:ind w:firstLineChars="196" w:firstLine="571"/>
        <w:rPr>
          <w:color w:val="000000"/>
          <w:sz w:val="18"/>
          <w:szCs w:val="18"/>
        </w:rPr>
      </w:pPr>
      <w:r>
        <w:rPr>
          <w:rStyle w:val="a4"/>
          <w:rFonts w:ascii="仿宋_GB2312" w:eastAsia="仿宋_GB2312" w:hint="eastAsia"/>
          <w:color w:val="000000"/>
          <w:sz w:val="29"/>
          <w:szCs w:val="29"/>
        </w:rPr>
        <w:t>四、其他</w:t>
      </w:r>
      <w:r w:rsidR="00372532">
        <w:rPr>
          <w:rStyle w:val="a4"/>
          <w:rFonts w:ascii="仿宋_GB2312" w:eastAsia="仿宋_GB2312" w:hint="eastAsia"/>
          <w:color w:val="000000"/>
          <w:sz w:val="29"/>
          <w:szCs w:val="29"/>
        </w:rPr>
        <w:t>事宜</w:t>
      </w:r>
    </w:p>
    <w:p w:rsidR="00372532" w:rsidRPr="00372532" w:rsidRDefault="00372532" w:rsidP="00372532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rFonts w:ascii="仿宋_GB2312" w:eastAsia="仿宋_GB2312"/>
          <w:color w:val="000000"/>
          <w:sz w:val="29"/>
          <w:szCs w:val="29"/>
        </w:rPr>
      </w:pPr>
      <w:r w:rsidRPr="00372532">
        <w:rPr>
          <w:rFonts w:ascii="仿宋_GB2312" w:eastAsia="仿宋_GB2312" w:hint="eastAsia"/>
          <w:color w:val="000000"/>
          <w:sz w:val="29"/>
          <w:szCs w:val="29"/>
        </w:rPr>
        <w:t>1.推荐项目的资助标准</w:t>
      </w:r>
      <w:r>
        <w:rPr>
          <w:rFonts w:ascii="仿宋_GB2312" w:eastAsia="仿宋_GB2312" w:hint="eastAsia"/>
          <w:color w:val="000000"/>
          <w:sz w:val="29"/>
          <w:szCs w:val="29"/>
        </w:rPr>
        <w:t>及建设周期等情况参照</w:t>
      </w:r>
      <w:r w:rsidRPr="00372532">
        <w:rPr>
          <w:rFonts w:ascii="仿宋_GB2312" w:eastAsia="仿宋_GB2312" w:hint="eastAsia"/>
          <w:color w:val="000000"/>
          <w:sz w:val="29"/>
          <w:szCs w:val="29"/>
        </w:rPr>
        <w:t>以下标准执行。</w:t>
      </w:r>
    </w:p>
    <w:p w:rsidR="00372532" w:rsidRPr="00372532" w:rsidRDefault="00372532" w:rsidP="00372532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仿宋_GB2312" w:eastAsia="仿宋_GB2312"/>
          <w:color w:val="000000"/>
          <w:sz w:val="29"/>
          <w:szCs w:val="29"/>
        </w:rPr>
      </w:pPr>
      <w:r w:rsidRPr="00372532">
        <w:rPr>
          <w:rFonts w:ascii="仿宋_GB2312" w:eastAsia="仿宋_GB2312" w:hint="eastAsia"/>
          <w:color w:val="000000"/>
          <w:sz w:val="29"/>
          <w:szCs w:val="29"/>
        </w:rPr>
        <w:t>表：项目</w:t>
      </w:r>
      <w:r>
        <w:rPr>
          <w:rFonts w:ascii="仿宋_GB2312" w:eastAsia="仿宋_GB2312" w:hint="eastAsia"/>
          <w:color w:val="000000"/>
          <w:sz w:val="29"/>
          <w:szCs w:val="29"/>
        </w:rPr>
        <w:t>资助标准及建设周期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1418"/>
        <w:gridCol w:w="2126"/>
        <w:gridCol w:w="2835"/>
        <w:gridCol w:w="1326"/>
      </w:tblGrid>
      <w:tr w:rsidR="00372532" w:rsidRPr="00372532" w:rsidTr="00372532">
        <w:trPr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序号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项目类别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建设周期（年）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资助总金额度（万元）</w:t>
            </w:r>
          </w:p>
        </w:tc>
        <w:tc>
          <w:tcPr>
            <w:tcW w:w="1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备注</w:t>
            </w:r>
          </w:p>
        </w:tc>
      </w:tr>
      <w:tr w:rsidR="00372532" w:rsidRPr="00372532" w:rsidTr="00372532">
        <w:trPr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综合类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>
              <w:rPr>
                <w:rFonts w:ascii="仿宋_GB2312" w:eastAsia="仿宋_GB2312" w:hint="eastAsia"/>
                <w:color w:val="000000"/>
                <w:sz w:val="29"/>
                <w:szCs w:val="29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ind w:firstLine="555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</w:p>
        </w:tc>
      </w:tr>
      <w:tr w:rsidR="00372532" w:rsidRPr="00372532" w:rsidTr="00372532">
        <w:trPr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一般类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2532" w:rsidRPr="00372532" w:rsidRDefault="00372532" w:rsidP="00372532">
            <w:pPr>
              <w:pStyle w:val="a3"/>
              <w:shd w:val="clear" w:color="auto" w:fill="FFFFFF"/>
              <w:spacing w:before="0" w:beforeAutospacing="0" w:after="0" w:afterAutospacing="0" w:line="270" w:lineRule="atLeast"/>
              <w:jc w:val="center"/>
              <w:rPr>
                <w:rFonts w:ascii="仿宋_GB2312" w:eastAsia="仿宋_GB2312"/>
                <w:color w:val="000000"/>
                <w:sz w:val="29"/>
                <w:szCs w:val="29"/>
              </w:rPr>
            </w:pPr>
            <w:r w:rsidRPr="00372532">
              <w:rPr>
                <w:rFonts w:ascii="仿宋_GB2312" w:eastAsia="仿宋_GB2312" w:hint="eastAsia"/>
                <w:color w:val="000000"/>
                <w:sz w:val="29"/>
                <w:szCs w:val="29"/>
              </w:rPr>
              <w:t>资助不少于11项</w:t>
            </w:r>
          </w:p>
        </w:tc>
      </w:tr>
    </w:tbl>
    <w:p w:rsidR="00845452" w:rsidRDefault="00845452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color w:val="000000"/>
          <w:sz w:val="18"/>
          <w:szCs w:val="18"/>
        </w:rPr>
      </w:pPr>
    </w:p>
    <w:p w:rsidR="001936A5" w:rsidRPr="001936A5" w:rsidRDefault="001936A5" w:rsidP="001936A5">
      <w:pPr>
        <w:pStyle w:val="a3"/>
        <w:wordWrap w:val="0"/>
        <w:spacing w:before="0" w:beforeAutospacing="0" w:after="0" w:afterAutospacing="0"/>
        <w:ind w:firstLineChars="150" w:firstLine="435"/>
        <w:jc w:val="both"/>
        <w:rPr>
          <w:rFonts w:ascii="仿宋_GB2312" w:eastAsia="仿宋_GB2312"/>
          <w:color w:val="000000"/>
          <w:sz w:val="29"/>
          <w:szCs w:val="29"/>
        </w:rPr>
      </w:pPr>
      <w:r w:rsidRPr="001936A5">
        <w:rPr>
          <w:rFonts w:ascii="仿宋_GB2312" w:eastAsia="仿宋_GB2312" w:hint="eastAsia"/>
          <w:color w:val="000000"/>
          <w:sz w:val="29"/>
          <w:szCs w:val="29"/>
        </w:rPr>
        <w:t>2.各项目组成员申报时可</w:t>
      </w:r>
      <w:r w:rsidR="002713FC">
        <w:rPr>
          <w:rFonts w:ascii="仿宋_GB2312" w:eastAsia="仿宋_GB2312" w:hint="eastAsia"/>
          <w:color w:val="000000"/>
          <w:sz w:val="29"/>
          <w:szCs w:val="29"/>
        </w:rPr>
        <w:t>参阅</w:t>
      </w:r>
      <w:r w:rsidR="00067AB2">
        <w:rPr>
          <w:rFonts w:ascii="仿宋_GB2312" w:eastAsia="仿宋_GB2312" w:hint="eastAsia"/>
          <w:color w:val="000000"/>
          <w:sz w:val="29"/>
          <w:szCs w:val="29"/>
        </w:rPr>
        <w:t>《</w:t>
      </w:r>
      <w:r w:rsidR="00067AB2" w:rsidRPr="00D83666">
        <w:rPr>
          <w:rFonts w:ascii="仿宋_GB2312" w:eastAsia="仿宋_GB2312" w:hint="eastAsia"/>
          <w:color w:val="000000"/>
          <w:sz w:val="29"/>
          <w:szCs w:val="29"/>
        </w:rPr>
        <w:t>广东省“教学质量与教学改革工程”项目</w:t>
      </w:r>
      <w:r w:rsidR="00067AB2">
        <w:rPr>
          <w:rFonts w:ascii="仿宋_GB2312" w:eastAsia="仿宋_GB2312" w:hint="eastAsia"/>
          <w:color w:val="000000"/>
          <w:sz w:val="29"/>
          <w:szCs w:val="29"/>
        </w:rPr>
        <w:t>验收</w:t>
      </w:r>
      <w:r w:rsidR="00067AB2" w:rsidRPr="00D83666">
        <w:rPr>
          <w:rFonts w:ascii="仿宋_GB2312" w:eastAsia="仿宋_GB2312" w:hint="eastAsia"/>
          <w:color w:val="000000"/>
          <w:sz w:val="29"/>
          <w:szCs w:val="29"/>
        </w:rPr>
        <w:t>评审指标体系（试行）</w:t>
      </w:r>
      <w:r w:rsidR="00067AB2">
        <w:rPr>
          <w:rFonts w:ascii="仿宋_GB2312" w:eastAsia="仿宋_GB2312" w:hint="eastAsia"/>
          <w:color w:val="000000"/>
          <w:sz w:val="29"/>
          <w:szCs w:val="29"/>
        </w:rPr>
        <w:t>》</w:t>
      </w:r>
      <w:r w:rsidRPr="001936A5">
        <w:rPr>
          <w:rFonts w:ascii="仿宋_GB2312" w:eastAsia="仿宋_GB2312" w:hint="eastAsia"/>
          <w:color w:val="000000"/>
          <w:sz w:val="29"/>
          <w:szCs w:val="29"/>
        </w:rPr>
        <w:t>（附件</w:t>
      </w:r>
      <w:r w:rsidR="004612EF">
        <w:rPr>
          <w:rFonts w:ascii="仿宋_GB2312" w:eastAsia="仿宋_GB2312" w:hint="eastAsia"/>
          <w:color w:val="000000"/>
          <w:sz w:val="29"/>
          <w:szCs w:val="29"/>
        </w:rPr>
        <w:t>4</w:t>
      </w:r>
      <w:r w:rsidRPr="001936A5">
        <w:rPr>
          <w:rFonts w:ascii="仿宋_GB2312" w:eastAsia="仿宋_GB2312" w:hint="eastAsia"/>
          <w:color w:val="000000"/>
          <w:sz w:val="29"/>
          <w:szCs w:val="29"/>
        </w:rPr>
        <w:t>）。</w:t>
      </w:r>
    </w:p>
    <w:p w:rsidR="00A55F57" w:rsidRDefault="001936A5" w:rsidP="007301C4">
      <w:pPr>
        <w:pStyle w:val="3"/>
        <w:shd w:val="clear" w:color="auto" w:fill="FFFFFF"/>
        <w:spacing w:before="0" w:beforeAutospacing="0" w:after="0" w:afterAutospacing="0"/>
        <w:ind w:firstLineChars="150" w:firstLine="435"/>
        <w:rPr>
          <w:rFonts w:ascii="仿宋_GB2312" w:eastAsia="仿宋_GB2312"/>
          <w:b w:val="0"/>
          <w:bCs w:val="0"/>
          <w:color w:val="000000"/>
          <w:sz w:val="29"/>
          <w:szCs w:val="29"/>
        </w:rPr>
      </w:pPr>
      <w:r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lastRenderedPageBreak/>
        <w:t>3</w:t>
      </w:r>
      <w:r w:rsidR="00A55F57" w:rsidRPr="007301C4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.其他未尽事宜，</w:t>
      </w:r>
      <w:proofErr w:type="gramStart"/>
      <w:r w:rsidR="00985E43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请</w:t>
      </w:r>
      <w:r w:rsidR="00A55F57" w:rsidRPr="007301C4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严格</w:t>
      </w:r>
      <w:proofErr w:type="gramEnd"/>
      <w:r w:rsidR="00342EF0" w:rsidRPr="007301C4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按照</w:t>
      </w:r>
      <w:r w:rsidR="00372532" w:rsidRPr="009F7E76">
        <w:rPr>
          <w:rFonts w:ascii="仿宋_GB2312" w:eastAsia="仿宋_GB2312" w:hint="eastAsia"/>
          <w:color w:val="000000"/>
          <w:sz w:val="29"/>
          <w:szCs w:val="29"/>
        </w:rPr>
        <w:t>《</w:t>
      </w:r>
      <w:r w:rsidR="00372532" w:rsidRPr="009F7E76">
        <w:rPr>
          <w:rFonts w:ascii="仿宋_GB2312" w:eastAsia="仿宋_GB2312"/>
          <w:color w:val="000000"/>
          <w:sz w:val="29"/>
          <w:szCs w:val="29"/>
        </w:rPr>
        <w:t>广东省教育厅关于开展2018年度省高等教育教学改革项目推荐工作的通知</w:t>
      </w:r>
      <w:r w:rsidR="00372532" w:rsidRPr="00326E0A">
        <w:rPr>
          <w:rFonts w:ascii="仿宋_GB2312" w:eastAsia="仿宋_GB2312" w:hint="eastAsia"/>
          <w:color w:val="000000"/>
          <w:sz w:val="29"/>
          <w:szCs w:val="29"/>
        </w:rPr>
        <w:t>》</w:t>
      </w:r>
      <w:r w:rsidR="00372532">
        <w:rPr>
          <w:rFonts w:ascii="仿宋_GB2312" w:eastAsia="仿宋_GB2312" w:hint="eastAsia"/>
          <w:color w:val="000000"/>
          <w:sz w:val="29"/>
          <w:szCs w:val="29"/>
        </w:rPr>
        <w:t>（粤</w:t>
      </w:r>
      <w:proofErr w:type="gramStart"/>
      <w:r w:rsidR="00372532">
        <w:rPr>
          <w:rFonts w:ascii="仿宋_GB2312" w:eastAsia="仿宋_GB2312" w:hint="eastAsia"/>
          <w:color w:val="000000"/>
          <w:sz w:val="29"/>
          <w:szCs w:val="29"/>
        </w:rPr>
        <w:t>教高函</w:t>
      </w:r>
      <w:proofErr w:type="gramEnd"/>
      <w:r w:rsidR="00372532">
        <w:rPr>
          <w:rFonts w:ascii="仿宋_GB2312" w:eastAsia="仿宋_GB2312" w:hint="eastAsia"/>
          <w:color w:val="000000"/>
          <w:sz w:val="29"/>
          <w:szCs w:val="29"/>
        </w:rPr>
        <w:t>[2018]</w:t>
      </w:r>
      <w:r w:rsidR="00372532" w:rsidRPr="009F7E76">
        <w:rPr>
          <w:rFonts w:ascii="Times New Roman" w:eastAsia="仿宋_GB2312" w:hAnsi="Times New Roman"/>
          <w:sz w:val="32"/>
          <w:szCs w:val="32"/>
        </w:rPr>
        <w:t xml:space="preserve"> </w:t>
      </w:r>
      <w:r w:rsidR="00372532">
        <w:rPr>
          <w:rFonts w:ascii="Times New Roman" w:eastAsia="仿宋_GB2312" w:hAnsi="Times New Roman"/>
          <w:sz w:val="32"/>
          <w:szCs w:val="32"/>
        </w:rPr>
        <w:t>132</w:t>
      </w:r>
      <w:r w:rsidR="00372532">
        <w:rPr>
          <w:rFonts w:ascii="仿宋_GB2312" w:eastAsia="仿宋_GB2312" w:hint="eastAsia"/>
          <w:color w:val="000000"/>
          <w:sz w:val="29"/>
          <w:szCs w:val="29"/>
        </w:rPr>
        <w:t>号）</w:t>
      </w:r>
      <w:r w:rsidR="00A55F57" w:rsidRPr="007301C4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执行。</w:t>
      </w:r>
    </w:p>
    <w:p w:rsidR="00372532" w:rsidRPr="00372532" w:rsidRDefault="00372532" w:rsidP="00372532">
      <w:pPr>
        <w:widowControl/>
        <w:shd w:val="clear" w:color="auto" w:fill="FFFFFF"/>
        <w:wordWrap w:val="0"/>
        <w:ind w:firstLine="420"/>
        <w:jc w:val="left"/>
        <w:rPr>
          <w:rFonts w:ascii="仿宋_GB2312" w:eastAsia="仿宋_GB2312" w:hAnsi="宋体" w:cs="宋体"/>
          <w:b/>
          <w:color w:val="000000"/>
          <w:kern w:val="0"/>
          <w:sz w:val="29"/>
          <w:szCs w:val="29"/>
        </w:rPr>
      </w:pPr>
      <w:r w:rsidRPr="00372532">
        <w:rPr>
          <w:rFonts w:ascii="仿宋_GB2312" w:eastAsia="仿宋_GB2312" w:hAnsi="宋体" w:cs="宋体" w:hint="eastAsia"/>
          <w:b/>
          <w:color w:val="000000"/>
          <w:kern w:val="0"/>
          <w:sz w:val="29"/>
          <w:szCs w:val="29"/>
        </w:rPr>
        <w:t xml:space="preserve">五、注意事项 </w:t>
      </w:r>
    </w:p>
    <w:p w:rsidR="00372532" w:rsidRPr="00372532" w:rsidRDefault="00372532" w:rsidP="00372532">
      <w:pPr>
        <w:widowControl/>
        <w:shd w:val="clear" w:color="auto" w:fill="FFFFFF"/>
        <w:wordWrap w:val="0"/>
        <w:ind w:firstLine="420"/>
        <w:jc w:val="left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 w:rsidRPr="00372532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1.认真组织。</w:t>
      </w:r>
      <w:r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省</w:t>
      </w:r>
      <w:r w:rsidRPr="00372532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教改项目立项情况和实施成效将作为学校创新强校工</w:t>
      </w:r>
      <w:proofErr w:type="gramStart"/>
      <w:r w:rsidRPr="00372532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程实施</w:t>
      </w:r>
      <w:proofErr w:type="gramEnd"/>
      <w:r w:rsidRPr="00372532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情况的重要考核内容。各单位务必高度重视，广泛发动，按照通知要求认真组织申报工作，及时报送相关材料。</w:t>
      </w:r>
    </w:p>
    <w:p w:rsidR="00372532" w:rsidRPr="00372532" w:rsidRDefault="00372532" w:rsidP="00372532">
      <w:pPr>
        <w:widowControl/>
        <w:shd w:val="clear" w:color="auto" w:fill="FFFFFF"/>
        <w:wordWrap w:val="0"/>
        <w:ind w:firstLine="420"/>
        <w:jc w:val="left"/>
        <w:rPr>
          <w:rFonts w:ascii="仿宋_GB2312" w:eastAsia="仿宋_GB2312" w:hAnsi="宋体" w:cs="宋体"/>
          <w:color w:val="000000"/>
          <w:kern w:val="0"/>
          <w:sz w:val="29"/>
          <w:szCs w:val="29"/>
        </w:rPr>
      </w:pPr>
      <w:r w:rsidRPr="00372532">
        <w:rPr>
          <w:rFonts w:ascii="仿宋_GB2312" w:eastAsia="仿宋_GB2312" w:hAnsi="宋体" w:cs="宋体" w:hint="eastAsia"/>
          <w:color w:val="000000"/>
          <w:kern w:val="0"/>
          <w:sz w:val="29"/>
          <w:szCs w:val="29"/>
        </w:rPr>
        <w:t>2.立足实际。各单位要认真分析梳理现有各级各类教学改革建设项目，结合本科教学改革发展实际，根据教改项目重点领域，针对人才培养中的不足和问题，科学设计改革实施方案，积极开展改革探索，促进人才培养质量全面提升。</w:t>
      </w:r>
    </w:p>
    <w:p w:rsidR="006D6B31" w:rsidRDefault="006D6B31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color w:val="000000"/>
          <w:sz w:val="18"/>
          <w:szCs w:val="18"/>
        </w:rPr>
      </w:pPr>
    </w:p>
    <w:p w:rsidR="00A55F57" w:rsidRDefault="00A55F57" w:rsidP="00A55F57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color w:val="000000"/>
          <w:sz w:val="18"/>
          <w:szCs w:val="18"/>
        </w:rPr>
      </w:pPr>
      <w:r>
        <w:rPr>
          <w:rFonts w:ascii="仿宋_GB2312" w:eastAsia="仿宋_GB2312" w:hint="eastAsia"/>
          <w:color w:val="000000"/>
          <w:sz w:val="29"/>
          <w:szCs w:val="29"/>
        </w:rPr>
        <w:t>附件</w:t>
      </w:r>
    </w:p>
    <w:p w:rsidR="00372532" w:rsidRPr="005C6696" w:rsidRDefault="00A55F57" w:rsidP="00372532">
      <w:pPr>
        <w:pStyle w:val="3"/>
        <w:shd w:val="clear" w:color="auto" w:fill="FFFFFF"/>
        <w:spacing w:before="0" w:beforeAutospacing="0" w:after="0" w:afterAutospacing="0"/>
        <w:ind w:firstLineChars="200" w:firstLine="580"/>
        <w:rPr>
          <w:rFonts w:ascii="仿宋_GB2312" w:eastAsia="仿宋_GB2312"/>
          <w:b w:val="0"/>
          <w:bCs w:val="0"/>
          <w:color w:val="000000"/>
          <w:sz w:val="29"/>
          <w:szCs w:val="29"/>
        </w:rPr>
      </w:pPr>
      <w:r w:rsidRPr="007301C4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1．</w:t>
      </w:r>
      <w:r w:rsidR="00372532" w:rsidRPr="005C6696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《</w:t>
      </w:r>
      <w:r w:rsidR="00372532" w:rsidRPr="005C6696">
        <w:rPr>
          <w:rFonts w:ascii="仿宋_GB2312" w:eastAsia="仿宋_GB2312"/>
          <w:b w:val="0"/>
          <w:bCs w:val="0"/>
          <w:color w:val="000000"/>
          <w:sz w:val="29"/>
          <w:szCs w:val="29"/>
        </w:rPr>
        <w:t>广东省教育厅关于开展2018年度省高等教育教学改革项目推荐工作的通知</w:t>
      </w:r>
      <w:r w:rsidR="00372532" w:rsidRPr="005C6696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》</w:t>
      </w:r>
    </w:p>
    <w:p w:rsidR="00D423DB" w:rsidRPr="005C6696" w:rsidRDefault="00DF633F" w:rsidP="005C6696">
      <w:pPr>
        <w:pStyle w:val="3"/>
        <w:shd w:val="clear" w:color="auto" w:fill="FFFFFF"/>
        <w:spacing w:before="0" w:beforeAutospacing="0" w:after="0" w:afterAutospacing="0"/>
        <w:ind w:firstLineChars="200" w:firstLine="580"/>
        <w:rPr>
          <w:rFonts w:ascii="仿宋_GB2312" w:eastAsia="仿宋_GB2312"/>
          <w:b w:val="0"/>
          <w:bCs w:val="0"/>
          <w:color w:val="000000"/>
          <w:sz w:val="29"/>
          <w:szCs w:val="29"/>
        </w:rPr>
      </w:pPr>
      <w:r w:rsidRPr="005C6696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2</w:t>
      </w:r>
      <w:r w:rsidR="00A55F57" w:rsidRPr="005C6696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．</w:t>
      </w:r>
      <w:r w:rsidR="005C6696" w:rsidRPr="005C6696">
        <w:rPr>
          <w:rFonts w:ascii="仿宋_GB2312" w:eastAsia="仿宋_GB2312" w:hint="eastAsia"/>
          <w:b w:val="0"/>
          <w:bCs w:val="0"/>
          <w:color w:val="000000"/>
          <w:sz w:val="29"/>
          <w:szCs w:val="29"/>
        </w:rPr>
        <w:t>2018年度广东省高等教育教学研究和改革项目申请书</w:t>
      </w:r>
    </w:p>
    <w:p w:rsidR="00E40EB9" w:rsidRDefault="00E40EB9" w:rsidP="0089442C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rPr>
          <w:rFonts w:ascii="仿宋_GB2312" w:eastAsia="仿宋_GB2312"/>
          <w:color w:val="000000"/>
          <w:sz w:val="29"/>
          <w:szCs w:val="29"/>
        </w:rPr>
      </w:pPr>
      <w:r w:rsidRPr="00E40EB9">
        <w:rPr>
          <w:rFonts w:ascii="仿宋_GB2312" w:eastAsia="仿宋_GB2312" w:hint="eastAsia"/>
          <w:color w:val="000000"/>
          <w:sz w:val="29"/>
          <w:szCs w:val="29"/>
        </w:rPr>
        <w:t>3</w:t>
      </w:r>
      <w:r>
        <w:rPr>
          <w:rFonts w:ascii="仿宋_GB2312" w:eastAsia="仿宋_GB2312" w:hint="eastAsia"/>
          <w:color w:val="000000"/>
          <w:sz w:val="29"/>
          <w:szCs w:val="29"/>
        </w:rPr>
        <w:t xml:space="preserve">. </w:t>
      </w:r>
      <w:r w:rsidR="005C6696" w:rsidRPr="005C6696">
        <w:rPr>
          <w:rFonts w:ascii="仿宋_GB2312" w:eastAsia="仿宋_GB2312" w:hint="eastAsia"/>
          <w:color w:val="000000"/>
          <w:sz w:val="29"/>
          <w:szCs w:val="29"/>
        </w:rPr>
        <w:t>2018年省高等教育教改项目推荐汇总表</w:t>
      </w:r>
    </w:p>
    <w:p w:rsidR="0089442C" w:rsidRPr="006D08F6" w:rsidRDefault="00E40EB9" w:rsidP="0089442C">
      <w:pPr>
        <w:pStyle w:val="a3"/>
        <w:shd w:val="clear" w:color="auto" w:fill="FFFFFF"/>
        <w:spacing w:before="0" w:beforeAutospacing="0" w:after="0" w:afterAutospacing="0" w:line="270" w:lineRule="atLeast"/>
        <w:ind w:firstLine="555"/>
      </w:pPr>
      <w:r>
        <w:rPr>
          <w:rFonts w:ascii="仿宋_GB2312" w:eastAsia="仿宋_GB2312" w:hint="eastAsia"/>
          <w:color w:val="000000"/>
          <w:sz w:val="29"/>
          <w:szCs w:val="29"/>
        </w:rPr>
        <w:t>4</w:t>
      </w:r>
      <w:r w:rsidR="0089442C">
        <w:rPr>
          <w:rFonts w:ascii="仿宋_GB2312" w:eastAsia="仿宋_GB2312" w:hint="eastAsia"/>
          <w:color w:val="000000"/>
          <w:sz w:val="29"/>
          <w:szCs w:val="29"/>
        </w:rPr>
        <w:t>.</w:t>
      </w:r>
      <w:r w:rsidR="0089442C" w:rsidRPr="0089442C">
        <w:rPr>
          <w:rFonts w:hint="eastAsia"/>
        </w:rPr>
        <w:t xml:space="preserve"> </w:t>
      </w:r>
      <w:r w:rsidR="00D83666" w:rsidRPr="00D83666">
        <w:rPr>
          <w:rFonts w:ascii="仿宋_GB2312" w:eastAsia="仿宋_GB2312" w:hint="eastAsia"/>
          <w:color w:val="000000"/>
          <w:sz w:val="29"/>
          <w:szCs w:val="29"/>
        </w:rPr>
        <w:t>广东省“教学质量与教学改革工程”项目</w:t>
      </w:r>
      <w:r w:rsidR="00114450">
        <w:rPr>
          <w:rFonts w:ascii="仿宋_GB2312" w:eastAsia="仿宋_GB2312" w:hint="eastAsia"/>
          <w:color w:val="000000"/>
          <w:sz w:val="29"/>
          <w:szCs w:val="29"/>
        </w:rPr>
        <w:t>验收</w:t>
      </w:r>
      <w:r w:rsidR="00D83666" w:rsidRPr="00D83666">
        <w:rPr>
          <w:rFonts w:ascii="仿宋_GB2312" w:eastAsia="仿宋_GB2312" w:hint="eastAsia"/>
          <w:color w:val="000000"/>
          <w:sz w:val="29"/>
          <w:szCs w:val="29"/>
        </w:rPr>
        <w:t>评审指标体系（试行）</w:t>
      </w:r>
    </w:p>
    <w:p w:rsidR="006D6B31" w:rsidRPr="006D6B31" w:rsidRDefault="006D6B31" w:rsidP="006D6B31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jc w:val="right"/>
        <w:rPr>
          <w:rFonts w:ascii="仿宋_GB2312" w:eastAsia="仿宋_GB2312"/>
          <w:color w:val="000000"/>
          <w:sz w:val="29"/>
          <w:szCs w:val="29"/>
        </w:rPr>
      </w:pPr>
      <w:r w:rsidRPr="006D6B31">
        <w:rPr>
          <w:rFonts w:ascii="仿宋_GB2312" w:eastAsia="仿宋_GB2312" w:hint="eastAsia"/>
          <w:color w:val="000000"/>
          <w:sz w:val="29"/>
          <w:szCs w:val="29"/>
        </w:rPr>
        <w:t>教务处</w:t>
      </w:r>
    </w:p>
    <w:p w:rsidR="006D6B31" w:rsidRPr="006D6B31" w:rsidRDefault="006D6B31" w:rsidP="006D6B31">
      <w:pPr>
        <w:pStyle w:val="a3"/>
        <w:shd w:val="clear" w:color="auto" w:fill="FFFFFF"/>
        <w:spacing w:before="0" w:beforeAutospacing="0" w:after="0" w:afterAutospacing="0" w:line="270" w:lineRule="atLeast"/>
        <w:ind w:firstLine="555"/>
        <w:jc w:val="right"/>
        <w:rPr>
          <w:rFonts w:ascii="仿宋_GB2312" w:eastAsia="仿宋_GB2312"/>
          <w:color w:val="000000"/>
          <w:sz w:val="29"/>
          <w:szCs w:val="29"/>
        </w:rPr>
      </w:pPr>
      <w:r w:rsidRPr="006D6B31">
        <w:rPr>
          <w:rFonts w:ascii="仿宋_GB2312" w:eastAsia="仿宋_GB2312" w:hint="eastAsia"/>
          <w:color w:val="000000"/>
          <w:sz w:val="29"/>
          <w:szCs w:val="29"/>
        </w:rPr>
        <w:t>201</w:t>
      </w:r>
      <w:r w:rsidR="00D067F8">
        <w:rPr>
          <w:rFonts w:ascii="仿宋_GB2312" w:eastAsia="仿宋_GB2312" w:hint="eastAsia"/>
          <w:color w:val="000000"/>
          <w:sz w:val="29"/>
          <w:szCs w:val="29"/>
        </w:rPr>
        <w:t>8</w:t>
      </w:r>
      <w:r w:rsidRPr="006D6B31">
        <w:rPr>
          <w:rFonts w:ascii="仿宋_GB2312" w:eastAsia="仿宋_GB2312" w:hint="eastAsia"/>
          <w:color w:val="000000"/>
          <w:sz w:val="29"/>
          <w:szCs w:val="29"/>
        </w:rPr>
        <w:t>年</w:t>
      </w:r>
      <w:r w:rsidR="00691418">
        <w:rPr>
          <w:rFonts w:ascii="仿宋_GB2312" w:eastAsia="仿宋_GB2312" w:hint="eastAsia"/>
          <w:color w:val="000000"/>
          <w:sz w:val="29"/>
          <w:szCs w:val="29"/>
        </w:rPr>
        <w:t>8</w:t>
      </w:r>
      <w:r w:rsidRPr="006D6B31">
        <w:rPr>
          <w:rFonts w:ascii="仿宋_GB2312" w:eastAsia="仿宋_GB2312" w:hint="eastAsia"/>
          <w:color w:val="000000"/>
          <w:sz w:val="29"/>
          <w:szCs w:val="29"/>
        </w:rPr>
        <w:t>月</w:t>
      </w:r>
      <w:r w:rsidR="00691418">
        <w:rPr>
          <w:rFonts w:ascii="仿宋_GB2312" w:eastAsia="仿宋_GB2312" w:hint="eastAsia"/>
          <w:color w:val="000000"/>
          <w:sz w:val="29"/>
          <w:szCs w:val="29"/>
        </w:rPr>
        <w:t>2</w:t>
      </w:r>
      <w:r w:rsidR="00991FB3">
        <w:rPr>
          <w:rFonts w:ascii="仿宋_GB2312" w:eastAsia="仿宋_GB2312" w:hint="eastAsia"/>
          <w:color w:val="000000"/>
          <w:sz w:val="29"/>
          <w:szCs w:val="29"/>
        </w:rPr>
        <w:t>2</w:t>
      </w:r>
      <w:r w:rsidRPr="006D6B31">
        <w:rPr>
          <w:rFonts w:ascii="仿宋_GB2312" w:eastAsia="仿宋_GB2312" w:hint="eastAsia"/>
          <w:color w:val="000000"/>
          <w:sz w:val="29"/>
          <w:szCs w:val="29"/>
        </w:rPr>
        <w:t>日</w:t>
      </w:r>
    </w:p>
    <w:sectPr w:rsidR="006D6B31" w:rsidRPr="006D6B31" w:rsidSect="00D33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18" w:rsidRDefault="001D5A18" w:rsidP="006D6B31">
      <w:r>
        <w:separator/>
      </w:r>
    </w:p>
  </w:endnote>
  <w:endnote w:type="continuationSeparator" w:id="0">
    <w:p w:rsidR="001D5A18" w:rsidRDefault="001D5A18" w:rsidP="006D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18" w:rsidRDefault="001D5A18" w:rsidP="006D6B31">
      <w:r>
        <w:separator/>
      </w:r>
    </w:p>
  </w:footnote>
  <w:footnote w:type="continuationSeparator" w:id="0">
    <w:p w:rsidR="001D5A18" w:rsidRDefault="001D5A18" w:rsidP="006D6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E11"/>
    <w:rsid w:val="00061C7B"/>
    <w:rsid w:val="00066A49"/>
    <w:rsid w:val="00067AB2"/>
    <w:rsid w:val="00075058"/>
    <w:rsid w:val="00081E11"/>
    <w:rsid w:val="00093001"/>
    <w:rsid w:val="000A550D"/>
    <w:rsid w:val="000C6EF4"/>
    <w:rsid w:val="00114450"/>
    <w:rsid w:val="0013073C"/>
    <w:rsid w:val="001429A8"/>
    <w:rsid w:val="001608EA"/>
    <w:rsid w:val="001936A5"/>
    <w:rsid w:val="001D1785"/>
    <w:rsid w:val="001D5A18"/>
    <w:rsid w:val="002713FC"/>
    <w:rsid w:val="002953F2"/>
    <w:rsid w:val="002A11F8"/>
    <w:rsid w:val="002D7D90"/>
    <w:rsid w:val="002F3554"/>
    <w:rsid w:val="00326E0A"/>
    <w:rsid w:val="003305A4"/>
    <w:rsid w:val="00333097"/>
    <w:rsid w:val="00342EF0"/>
    <w:rsid w:val="003633C4"/>
    <w:rsid w:val="00372532"/>
    <w:rsid w:val="003754A1"/>
    <w:rsid w:val="00397B94"/>
    <w:rsid w:val="003C3861"/>
    <w:rsid w:val="003F52CB"/>
    <w:rsid w:val="00426AC9"/>
    <w:rsid w:val="004612EF"/>
    <w:rsid w:val="00533622"/>
    <w:rsid w:val="005C5F84"/>
    <w:rsid w:val="005C6696"/>
    <w:rsid w:val="00636BA2"/>
    <w:rsid w:val="0064729D"/>
    <w:rsid w:val="0067260B"/>
    <w:rsid w:val="00676E05"/>
    <w:rsid w:val="00691418"/>
    <w:rsid w:val="00697C20"/>
    <w:rsid w:val="006A03A8"/>
    <w:rsid w:val="006D08F6"/>
    <w:rsid w:val="006D6B31"/>
    <w:rsid w:val="007301C4"/>
    <w:rsid w:val="00741702"/>
    <w:rsid w:val="00771BA4"/>
    <w:rsid w:val="00830006"/>
    <w:rsid w:val="008438B2"/>
    <w:rsid w:val="00845452"/>
    <w:rsid w:val="0089442C"/>
    <w:rsid w:val="00916C29"/>
    <w:rsid w:val="009219C1"/>
    <w:rsid w:val="0094604E"/>
    <w:rsid w:val="00985E43"/>
    <w:rsid w:val="00991FB3"/>
    <w:rsid w:val="009F7E76"/>
    <w:rsid w:val="00A10163"/>
    <w:rsid w:val="00A45CE6"/>
    <w:rsid w:val="00A55F57"/>
    <w:rsid w:val="00A96944"/>
    <w:rsid w:val="00AA246E"/>
    <w:rsid w:val="00AA2ADD"/>
    <w:rsid w:val="00AA3C89"/>
    <w:rsid w:val="00B20738"/>
    <w:rsid w:val="00B2494D"/>
    <w:rsid w:val="00B50BC1"/>
    <w:rsid w:val="00B669E3"/>
    <w:rsid w:val="00BE54FD"/>
    <w:rsid w:val="00C00557"/>
    <w:rsid w:val="00C10087"/>
    <w:rsid w:val="00C37FD5"/>
    <w:rsid w:val="00C467C5"/>
    <w:rsid w:val="00D067F8"/>
    <w:rsid w:val="00D33DCD"/>
    <w:rsid w:val="00D423DB"/>
    <w:rsid w:val="00D63333"/>
    <w:rsid w:val="00D83666"/>
    <w:rsid w:val="00D91749"/>
    <w:rsid w:val="00DA27F3"/>
    <w:rsid w:val="00DC6ED5"/>
    <w:rsid w:val="00DF3A12"/>
    <w:rsid w:val="00DF633F"/>
    <w:rsid w:val="00E013F5"/>
    <w:rsid w:val="00E26C72"/>
    <w:rsid w:val="00E317A9"/>
    <w:rsid w:val="00E40EB9"/>
    <w:rsid w:val="00E824E7"/>
    <w:rsid w:val="00E90C2F"/>
    <w:rsid w:val="00F2018B"/>
    <w:rsid w:val="00F841A4"/>
    <w:rsid w:val="00F942D2"/>
    <w:rsid w:val="00F97995"/>
    <w:rsid w:val="00FA0C12"/>
    <w:rsid w:val="00FA2C8E"/>
    <w:rsid w:val="00FB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058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301C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F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5F57"/>
    <w:rPr>
      <w:b/>
      <w:bCs/>
    </w:rPr>
  </w:style>
  <w:style w:type="character" w:customStyle="1" w:styleId="apple-converted-space">
    <w:name w:val="apple-converted-space"/>
    <w:basedOn w:val="a0"/>
    <w:rsid w:val="00A55F57"/>
  </w:style>
  <w:style w:type="table" w:styleId="a5">
    <w:name w:val="Table Grid"/>
    <w:basedOn w:val="a1"/>
    <w:uiPriority w:val="59"/>
    <w:rsid w:val="00F8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6D6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D6B3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D6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D6B3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9799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9799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1C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unhideWhenUsed/>
    <w:rsid w:val="00B207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301C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F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5F57"/>
    <w:rPr>
      <w:b/>
      <w:bCs/>
    </w:rPr>
  </w:style>
  <w:style w:type="character" w:customStyle="1" w:styleId="apple-converted-space">
    <w:name w:val="apple-converted-space"/>
    <w:basedOn w:val="a0"/>
    <w:rsid w:val="00A55F57"/>
  </w:style>
  <w:style w:type="table" w:styleId="a5">
    <w:name w:val="Table Grid"/>
    <w:basedOn w:val="a1"/>
    <w:uiPriority w:val="59"/>
    <w:rsid w:val="00F8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6D6B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6D6B3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6D6B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6D6B3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F9799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9799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301C4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104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5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6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4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9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354079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6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5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5683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83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981020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167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曾宪群</dc:creator>
  <cp:lastModifiedBy>曾宪群</cp:lastModifiedBy>
  <cp:revision>13</cp:revision>
  <cp:lastPrinted>2017-07-11T07:44:00Z</cp:lastPrinted>
  <dcterms:created xsi:type="dcterms:W3CDTF">2018-08-01T10:14:00Z</dcterms:created>
  <dcterms:modified xsi:type="dcterms:W3CDTF">2018-08-22T04:08:00Z</dcterms:modified>
</cp:coreProperties>
</file>