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D3" w:rsidRPr="00D923D3" w:rsidRDefault="00D923D3" w:rsidP="00D923D3">
      <w:pPr>
        <w:jc w:val="center"/>
        <w:rPr>
          <w:rFonts w:ascii="黑体" w:eastAsia="黑体"/>
          <w:sz w:val="48"/>
          <w:szCs w:val="48"/>
          <w:u w:val="single"/>
        </w:rPr>
      </w:pPr>
      <w:r w:rsidRPr="00D923D3">
        <w:rPr>
          <w:rFonts w:ascii="黑体" w:eastAsia="黑体" w:hint="eastAsia"/>
          <w:sz w:val="48"/>
          <w:szCs w:val="48"/>
          <w:u w:val="single"/>
        </w:rPr>
        <w:t xml:space="preserve">东　</w:t>
      </w:r>
      <w:proofErr w:type="gramStart"/>
      <w:r w:rsidRPr="00D923D3">
        <w:rPr>
          <w:rFonts w:ascii="黑体" w:eastAsia="黑体" w:hint="eastAsia"/>
          <w:sz w:val="48"/>
          <w:szCs w:val="48"/>
          <w:u w:val="single"/>
        </w:rPr>
        <w:t>莞</w:t>
      </w:r>
      <w:proofErr w:type="gramEnd"/>
      <w:r w:rsidRPr="00D923D3">
        <w:rPr>
          <w:rFonts w:ascii="黑体" w:eastAsia="黑体" w:hint="eastAsia"/>
          <w:sz w:val="48"/>
          <w:szCs w:val="48"/>
          <w:u w:val="single"/>
        </w:rPr>
        <w:t xml:space="preserve">　理　工　学　院　教　</w:t>
      </w:r>
      <w:proofErr w:type="gramStart"/>
      <w:r w:rsidRPr="00D923D3">
        <w:rPr>
          <w:rFonts w:ascii="黑体" w:eastAsia="黑体" w:hint="eastAsia"/>
          <w:sz w:val="48"/>
          <w:szCs w:val="48"/>
          <w:u w:val="single"/>
        </w:rPr>
        <w:t>务</w:t>
      </w:r>
      <w:proofErr w:type="gramEnd"/>
      <w:r w:rsidRPr="00D923D3">
        <w:rPr>
          <w:rFonts w:ascii="黑体" w:eastAsia="黑体" w:hint="eastAsia"/>
          <w:sz w:val="48"/>
          <w:szCs w:val="48"/>
          <w:u w:val="single"/>
        </w:rPr>
        <w:t xml:space="preserve">　处</w:t>
      </w:r>
    </w:p>
    <w:p w:rsidR="00D923D3" w:rsidRPr="00D923D3" w:rsidRDefault="00D923D3" w:rsidP="00D923D3">
      <w:pPr>
        <w:jc w:val="right"/>
        <w:rPr>
          <w:rFonts w:ascii="黑体" w:eastAsia="黑体"/>
          <w:szCs w:val="21"/>
        </w:rPr>
      </w:pPr>
      <w:r w:rsidRPr="00D923D3">
        <w:rPr>
          <w:rFonts w:ascii="黑体" w:eastAsia="黑体" w:hint="eastAsia"/>
          <w:szCs w:val="21"/>
        </w:rPr>
        <w:t>教务[2017]</w:t>
      </w:r>
      <w:r w:rsidR="007B2402">
        <w:rPr>
          <w:rFonts w:ascii="黑体" w:eastAsia="黑体" w:hint="eastAsia"/>
          <w:szCs w:val="21"/>
        </w:rPr>
        <w:t>34</w:t>
      </w:r>
      <w:r w:rsidRPr="00D923D3">
        <w:rPr>
          <w:rFonts w:ascii="黑体" w:eastAsia="黑体" w:hint="eastAsia"/>
          <w:szCs w:val="21"/>
        </w:rPr>
        <w:t>号</w:t>
      </w:r>
    </w:p>
    <w:p w:rsidR="007D2148" w:rsidRDefault="007D2148" w:rsidP="00D923D3">
      <w:pPr>
        <w:jc w:val="center"/>
        <w:rPr>
          <w:rFonts w:ascii="黑体" w:eastAsia="黑体"/>
          <w:sz w:val="32"/>
          <w:szCs w:val="32"/>
        </w:rPr>
      </w:pPr>
    </w:p>
    <w:p w:rsidR="00597CEC" w:rsidRDefault="00D923D3" w:rsidP="00D923D3">
      <w:pPr>
        <w:jc w:val="center"/>
        <w:rPr>
          <w:rFonts w:ascii="黑体" w:eastAsia="黑体"/>
          <w:sz w:val="32"/>
          <w:szCs w:val="32"/>
        </w:rPr>
      </w:pPr>
      <w:r w:rsidRPr="00D923D3">
        <w:rPr>
          <w:rFonts w:ascii="黑体" w:eastAsia="黑体" w:hint="eastAsia"/>
          <w:sz w:val="32"/>
          <w:szCs w:val="32"/>
        </w:rPr>
        <w:t>关于开展课程考试试卷</w:t>
      </w:r>
      <w:r w:rsidR="00EB7638">
        <w:rPr>
          <w:rFonts w:ascii="黑体" w:eastAsia="黑体" w:hint="eastAsia"/>
          <w:sz w:val="32"/>
          <w:szCs w:val="32"/>
        </w:rPr>
        <w:t>专项</w:t>
      </w:r>
      <w:r>
        <w:rPr>
          <w:rFonts w:ascii="黑体" w:eastAsia="黑体" w:hint="eastAsia"/>
          <w:sz w:val="32"/>
          <w:szCs w:val="32"/>
        </w:rPr>
        <w:t>检查</w:t>
      </w:r>
      <w:r w:rsidR="00FB0791">
        <w:rPr>
          <w:rFonts w:ascii="黑体" w:eastAsia="黑体" w:hint="eastAsia"/>
          <w:sz w:val="32"/>
          <w:szCs w:val="32"/>
        </w:rPr>
        <w:t>工作</w:t>
      </w:r>
      <w:r w:rsidRPr="00D923D3">
        <w:rPr>
          <w:rFonts w:ascii="黑体" w:eastAsia="黑体" w:hint="eastAsia"/>
          <w:sz w:val="32"/>
          <w:szCs w:val="32"/>
        </w:rPr>
        <w:t>的通知</w:t>
      </w:r>
    </w:p>
    <w:p w:rsidR="007D2148" w:rsidRDefault="007D2148" w:rsidP="00D923D3">
      <w:pPr>
        <w:rPr>
          <w:rFonts w:asciiTheme="minorEastAsia" w:hAnsiTheme="minorEastAsia"/>
          <w:sz w:val="24"/>
          <w:szCs w:val="24"/>
        </w:rPr>
      </w:pPr>
    </w:p>
    <w:p w:rsidR="00D923D3" w:rsidRPr="00D923D3" w:rsidRDefault="00D923D3" w:rsidP="00D923D3">
      <w:pPr>
        <w:rPr>
          <w:rFonts w:asciiTheme="minorEastAsia" w:hAnsiTheme="minorEastAsia"/>
          <w:sz w:val="24"/>
          <w:szCs w:val="24"/>
        </w:rPr>
      </w:pPr>
      <w:r w:rsidRPr="00D923D3">
        <w:rPr>
          <w:rFonts w:asciiTheme="minorEastAsia" w:hAnsiTheme="minorEastAsia" w:hint="eastAsia"/>
          <w:sz w:val="24"/>
          <w:szCs w:val="24"/>
        </w:rPr>
        <w:t>各</w:t>
      </w:r>
      <w:r w:rsidR="00D97957">
        <w:rPr>
          <w:rFonts w:asciiTheme="minorEastAsia" w:hAnsiTheme="minorEastAsia" w:hint="eastAsia"/>
          <w:sz w:val="24"/>
          <w:szCs w:val="24"/>
        </w:rPr>
        <w:t>学院、学生处和图书馆</w:t>
      </w:r>
      <w:r w:rsidRPr="00D923D3">
        <w:rPr>
          <w:rFonts w:asciiTheme="minorEastAsia" w:hAnsiTheme="minorEastAsia" w:hint="eastAsia"/>
          <w:sz w:val="24"/>
          <w:szCs w:val="24"/>
        </w:rPr>
        <w:t>：</w:t>
      </w:r>
    </w:p>
    <w:p w:rsidR="00D923D3" w:rsidRPr="00EB7638" w:rsidRDefault="00D923D3" w:rsidP="00FB079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</w:t>
      </w:r>
      <w:r w:rsidR="00EB7638" w:rsidRPr="00FB0791">
        <w:rPr>
          <w:rFonts w:asciiTheme="minorEastAsia" w:hAnsiTheme="minorEastAsia" w:hint="eastAsia"/>
          <w:sz w:val="24"/>
          <w:szCs w:val="24"/>
        </w:rPr>
        <w:t>提高我校课程考核试卷质量，规范试卷评阅工作，确保课程考核工作质量</w:t>
      </w:r>
      <w:r w:rsidR="00D97957">
        <w:rPr>
          <w:rFonts w:asciiTheme="minorEastAsia" w:hAnsiTheme="minorEastAsia" w:hint="eastAsia"/>
          <w:sz w:val="24"/>
          <w:szCs w:val="24"/>
        </w:rPr>
        <w:t>，</w:t>
      </w:r>
      <w:r w:rsidR="005F15A7">
        <w:rPr>
          <w:rFonts w:asciiTheme="minorEastAsia" w:hAnsiTheme="minorEastAsia" w:hint="eastAsia"/>
          <w:sz w:val="24"/>
          <w:szCs w:val="24"/>
        </w:rPr>
        <w:t>现</w:t>
      </w:r>
      <w:r w:rsidR="00EB7638" w:rsidRPr="00FB0791">
        <w:rPr>
          <w:rFonts w:asciiTheme="minorEastAsia" w:hAnsiTheme="minorEastAsia" w:hint="eastAsia"/>
          <w:sz w:val="24"/>
          <w:szCs w:val="24"/>
        </w:rPr>
        <w:t>请各教学单位</w:t>
      </w:r>
      <w:r w:rsidR="005F15A7">
        <w:rPr>
          <w:rFonts w:asciiTheme="minorEastAsia" w:hAnsiTheme="minorEastAsia" w:hint="eastAsia"/>
          <w:sz w:val="24"/>
          <w:szCs w:val="24"/>
        </w:rPr>
        <w:t>对上学期期末</w:t>
      </w:r>
      <w:r>
        <w:rPr>
          <w:rFonts w:asciiTheme="minorEastAsia" w:hAnsiTheme="minorEastAsia" w:hint="eastAsia"/>
          <w:sz w:val="24"/>
          <w:szCs w:val="24"/>
        </w:rPr>
        <w:t>考试的试卷进行</w:t>
      </w:r>
      <w:r w:rsidR="00EB7638" w:rsidRPr="00FB0791">
        <w:rPr>
          <w:rFonts w:asciiTheme="minorEastAsia" w:hAnsiTheme="minorEastAsia" w:hint="eastAsia"/>
          <w:sz w:val="24"/>
          <w:szCs w:val="24"/>
        </w:rPr>
        <w:t>专项</w:t>
      </w:r>
      <w:r>
        <w:rPr>
          <w:rFonts w:asciiTheme="minorEastAsia" w:hAnsiTheme="minorEastAsia" w:hint="eastAsia"/>
          <w:sz w:val="24"/>
          <w:szCs w:val="24"/>
        </w:rPr>
        <w:t>检查</w:t>
      </w:r>
      <w:r w:rsidR="00EB7638" w:rsidRPr="00FB0791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本次试卷检查工作详</w:t>
      </w:r>
      <w:r w:rsidR="007D7229">
        <w:rPr>
          <w:rFonts w:asciiTheme="minorEastAsia" w:hAnsiTheme="minorEastAsia" w:hint="eastAsia"/>
          <w:sz w:val="24"/>
          <w:szCs w:val="24"/>
        </w:rPr>
        <w:t>细</w:t>
      </w:r>
      <w:r>
        <w:rPr>
          <w:rFonts w:asciiTheme="minorEastAsia" w:hAnsiTheme="minorEastAsia" w:hint="eastAsia"/>
          <w:sz w:val="24"/>
          <w:szCs w:val="24"/>
        </w:rPr>
        <w:t>安排如下。</w:t>
      </w:r>
    </w:p>
    <w:p w:rsidR="00D97957" w:rsidRDefault="00D97957" w:rsidP="00FB0791">
      <w:pPr>
        <w:rPr>
          <w:rFonts w:asciiTheme="minorEastAsia" w:hAnsiTheme="minorEastAsia"/>
          <w:sz w:val="24"/>
          <w:szCs w:val="24"/>
        </w:rPr>
      </w:pPr>
    </w:p>
    <w:p w:rsidR="00D923D3" w:rsidRDefault="00D923D3" w:rsidP="004E4B0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一、教师自查</w:t>
      </w:r>
    </w:p>
    <w:p w:rsidR="00D923D3" w:rsidRDefault="00D923D3" w:rsidP="00FB079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教师自查上学期承担课程的所有试卷，填写</w:t>
      </w:r>
      <w:r w:rsidR="00194D03">
        <w:rPr>
          <w:rFonts w:asciiTheme="minorEastAsia" w:hAnsiTheme="minorEastAsia" w:hint="eastAsia"/>
          <w:sz w:val="24"/>
          <w:szCs w:val="24"/>
        </w:rPr>
        <w:t>《东莞理工学院课程考试试卷</w:t>
      </w:r>
      <w:r w:rsidR="00960B5F">
        <w:rPr>
          <w:rFonts w:asciiTheme="minorEastAsia" w:hAnsiTheme="minorEastAsia" w:hint="eastAsia"/>
          <w:sz w:val="24"/>
          <w:szCs w:val="24"/>
        </w:rPr>
        <w:t>检查</w:t>
      </w:r>
      <w:r w:rsidR="00194D03">
        <w:rPr>
          <w:rFonts w:asciiTheme="minorEastAsia" w:hAnsiTheme="minorEastAsia" w:hint="eastAsia"/>
          <w:sz w:val="24"/>
          <w:szCs w:val="24"/>
        </w:rPr>
        <w:t>指标体系（院、教师自查用）》（附件1）</w:t>
      </w:r>
      <w:r w:rsidR="00E74425">
        <w:rPr>
          <w:rFonts w:asciiTheme="minorEastAsia" w:hAnsiTheme="minorEastAsia" w:hint="eastAsia"/>
          <w:sz w:val="24"/>
          <w:szCs w:val="24"/>
        </w:rPr>
        <w:t>，并上交开课单位</w:t>
      </w:r>
      <w:r w:rsidR="00194D03">
        <w:rPr>
          <w:rFonts w:asciiTheme="minorEastAsia" w:hAnsiTheme="minorEastAsia" w:hint="eastAsia"/>
          <w:sz w:val="24"/>
          <w:szCs w:val="24"/>
        </w:rPr>
        <w:t>。</w:t>
      </w:r>
      <w:r w:rsidR="00E74425">
        <w:rPr>
          <w:rFonts w:asciiTheme="minorEastAsia" w:hAnsiTheme="minorEastAsia" w:hint="eastAsia"/>
          <w:sz w:val="24"/>
          <w:szCs w:val="24"/>
        </w:rPr>
        <w:t>各位教师在5月19日前完成自查。</w:t>
      </w:r>
    </w:p>
    <w:p w:rsidR="00960B5F" w:rsidRDefault="00960B5F" w:rsidP="00FB0791">
      <w:pPr>
        <w:rPr>
          <w:rFonts w:asciiTheme="minorEastAsia" w:hAnsiTheme="minorEastAsia"/>
          <w:sz w:val="24"/>
          <w:szCs w:val="24"/>
        </w:rPr>
      </w:pPr>
    </w:p>
    <w:p w:rsidR="00194D03" w:rsidRDefault="00194D03" w:rsidP="004E4B0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EB7638">
        <w:rPr>
          <w:rFonts w:asciiTheme="minorEastAsia" w:hAnsiTheme="minorEastAsia" w:hint="eastAsia"/>
          <w:sz w:val="24"/>
          <w:szCs w:val="24"/>
        </w:rPr>
        <w:t>教学</w:t>
      </w:r>
      <w:r w:rsidR="005C30F2">
        <w:rPr>
          <w:rFonts w:asciiTheme="minorEastAsia" w:hAnsiTheme="minorEastAsia" w:hint="eastAsia"/>
          <w:sz w:val="24"/>
          <w:szCs w:val="24"/>
        </w:rPr>
        <w:t>单位</w:t>
      </w:r>
      <w:r>
        <w:rPr>
          <w:rFonts w:asciiTheme="minorEastAsia" w:hAnsiTheme="minorEastAsia" w:hint="eastAsia"/>
          <w:sz w:val="24"/>
          <w:szCs w:val="24"/>
        </w:rPr>
        <w:t>抽查</w:t>
      </w:r>
    </w:p>
    <w:p w:rsidR="00194D03" w:rsidRDefault="00194D03" w:rsidP="00FB079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各教学承担单位</w:t>
      </w:r>
      <w:r w:rsidR="00D97957">
        <w:rPr>
          <w:rFonts w:asciiTheme="minorEastAsia" w:hAnsiTheme="minorEastAsia" w:hint="eastAsia"/>
          <w:sz w:val="24"/>
          <w:szCs w:val="24"/>
        </w:rPr>
        <w:t>（</w:t>
      </w:r>
      <w:proofErr w:type="gramStart"/>
      <w:r w:rsidR="00D97957">
        <w:rPr>
          <w:rFonts w:asciiTheme="minorEastAsia" w:hAnsiTheme="minorEastAsia" w:hint="eastAsia"/>
          <w:sz w:val="24"/>
          <w:szCs w:val="24"/>
        </w:rPr>
        <w:t>含学生</w:t>
      </w:r>
      <w:proofErr w:type="gramEnd"/>
      <w:r w:rsidR="00D97957">
        <w:rPr>
          <w:rFonts w:asciiTheme="minorEastAsia" w:hAnsiTheme="minorEastAsia" w:hint="eastAsia"/>
          <w:sz w:val="24"/>
          <w:szCs w:val="24"/>
        </w:rPr>
        <w:t>处和图书馆）</w:t>
      </w:r>
      <w:r w:rsidRPr="00194D03">
        <w:rPr>
          <w:rFonts w:asciiTheme="minorEastAsia" w:hAnsiTheme="minorEastAsia" w:hint="eastAsia"/>
          <w:sz w:val="24"/>
          <w:szCs w:val="24"/>
        </w:rPr>
        <w:t>组建</w:t>
      </w:r>
      <w:r w:rsidR="004E4B05">
        <w:rPr>
          <w:rFonts w:asciiTheme="minorEastAsia" w:hAnsiTheme="minorEastAsia" w:hint="eastAsia"/>
          <w:sz w:val="24"/>
          <w:szCs w:val="24"/>
        </w:rPr>
        <w:t>试卷检查</w:t>
      </w:r>
      <w:r w:rsidRPr="00194D03">
        <w:rPr>
          <w:rFonts w:asciiTheme="minorEastAsia" w:hAnsiTheme="minorEastAsia" w:hint="eastAsia"/>
          <w:sz w:val="24"/>
          <w:szCs w:val="24"/>
        </w:rPr>
        <w:t>专家组，</w:t>
      </w:r>
      <w:r>
        <w:rPr>
          <w:rFonts w:asciiTheme="minorEastAsia" w:hAnsiTheme="minorEastAsia" w:hint="eastAsia"/>
          <w:sz w:val="24"/>
          <w:szCs w:val="24"/>
        </w:rPr>
        <w:t>检查</w:t>
      </w:r>
      <w:r w:rsidRPr="00194D03"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单位</w:t>
      </w:r>
      <w:r w:rsidRPr="00194D03">
        <w:rPr>
          <w:rFonts w:asciiTheme="minorEastAsia" w:hAnsiTheme="minorEastAsia" w:hint="eastAsia"/>
          <w:sz w:val="24"/>
          <w:szCs w:val="24"/>
        </w:rPr>
        <w:t>课程考试试卷的质量及管理情况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194D03">
        <w:rPr>
          <w:rFonts w:asciiTheme="minorEastAsia" w:hAnsiTheme="minorEastAsia" w:hint="eastAsia"/>
          <w:sz w:val="24"/>
          <w:szCs w:val="24"/>
        </w:rPr>
        <w:t>按照</w:t>
      </w:r>
      <w:r w:rsidR="00DC6713">
        <w:rPr>
          <w:rFonts w:asciiTheme="minorEastAsia" w:hAnsiTheme="minorEastAsia" w:hint="eastAsia"/>
          <w:sz w:val="24"/>
          <w:szCs w:val="24"/>
        </w:rPr>
        <w:t>检查</w:t>
      </w:r>
      <w:r w:rsidRPr="00194D03">
        <w:rPr>
          <w:rFonts w:asciiTheme="minorEastAsia" w:hAnsiTheme="minorEastAsia" w:hint="eastAsia"/>
          <w:sz w:val="24"/>
          <w:szCs w:val="24"/>
        </w:rPr>
        <w:t>指标体系要求，</w:t>
      </w:r>
      <w:r w:rsidR="00D97957">
        <w:rPr>
          <w:rFonts w:asciiTheme="minorEastAsia" w:hAnsiTheme="minorEastAsia" w:hint="eastAsia"/>
          <w:sz w:val="24"/>
          <w:szCs w:val="24"/>
        </w:rPr>
        <w:t>检查</w:t>
      </w:r>
      <w:r w:rsidRPr="00194D03">
        <w:rPr>
          <w:rFonts w:asciiTheme="minorEastAsia" w:hAnsiTheme="minorEastAsia" w:hint="eastAsia"/>
          <w:sz w:val="24"/>
          <w:szCs w:val="24"/>
        </w:rPr>
        <w:t>课程试卷及学生答卷</w:t>
      </w:r>
      <w:r>
        <w:rPr>
          <w:rFonts w:asciiTheme="minorEastAsia" w:hAnsiTheme="minorEastAsia" w:hint="eastAsia"/>
          <w:sz w:val="24"/>
          <w:szCs w:val="24"/>
        </w:rPr>
        <w:t>并填写附件1，同时</w:t>
      </w:r>
      <w:r w:rsidRPr="00194D03">
        <w:rPr>
          <w:rFonts w:asciiTheme="minorEastAsia" w:hAnsiTheme="minorEastAsia" w:hint="eastAsia"/>
          <w:sz w:val="24"/>
          <w:szCs w:val="24"/>
        </w:rPr>
        <w:t>形成</w:t>
      </w:r>
      <w:r>
        <w:rPr>
          <w:rFonts w:asciiTheme="minorEastAsia" w:hAnsiTheme="minorEastAsia" w:hint="eastAsia"/>
          <w:sz w:val="24"/>
          <w:szCs w:val="24"/>
        </w:rPr>
        <w:t>一份试卷检查</w:t>
      </w:r>
      <w:r w:rsidRPr="00194D03">
        <w:rPr>
          <w:rFonts w:asciiTheme="minorEastAsia" w:hAnsiTheme="minorEastAsia" w:hint="eastAsia"/>
          <w:sz w:val="24"/>
          <w:szCs w:val="24"/>
        </w:rPr>
        <w:t>报告。</w:t>
      </w:r>
    </w:p>
    <w:p w:rsidR="00863682" w:rsidRDefault="00194D03" w:rsidP="00FB079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各教学单位的试卷检查</w:t>
      </w:r>
      <w:r w:rsidR="004E4B05">
        <w:rPr>
          <w:rFonts w:asciiTheme="minorEastAsia" w:hAnsiTheme="minorEastAsia" w:hint="eastAsia"/>
          <w:sz w:val="24"/>
          <w:szCs w:val="24"/>
        </w:rPr>
        <w:t>整改</w:t>
      </w:r>
      <w:r w:rsidRPr="00194D03">
        <w:rPr>
          <w:rFonts w:asciiTheme="minorEastAsia" w:hAnsiTheme="minorEastAsia" w:hint="eastAsia"/>
          <w:sz w:val="24"/>
          <w:szCs w:val="24"/>
        </w:rPr>
        <w:t>报告至少应包含以下内容：自查工作组织及整体情况描述；以定量为主的方式对评估指标各项</w:t>
      </w:r>
      <w:proofErr w:type="gramStart"/>
      <w:r w:rsidRPr="00194D03">
        <w:rPr>
          <w:rFonts w:asciiTheme="minorEastAsia" w:hAnsiTheme="minorEastAsia" w:hint="eastAsia"/>
          <w:sz w:val="24"/>
          <w:szCs w:val="24"/>
        </w:rPr>
        <w:t>目</w:t>
      </w:r>
      <w:r w:rsidR="00863682">
        <w:rPr>
          <w:rFonts w:asciiTheme="minorEastAsia" w:hAnsiTheme="minorEastAsia" w:hint="eastAsia"/>
          <w:sz w:val="24"/>
          <w:szCs w:val="24"/>
        </w:rPr>
        <w:t>检</w:t>
      </w:r>
      <w:r w:rsidRPr="00194D03">
        <w:rPr>
          <w:rFonts w:asciiTheme="minorEastAsia" w:hAnsiTheme="minorEastAsia" w:hint="eastAsia"/>
          <w:sz w:val="24"/>
          <w:szCs w:val="24"/>
        </w:rPr>
        <w:t>查</w:t>
      </w:r>
      <w:proofErr w:type="gramEnd"/>
      <w:r w:rsidRPr="00194D03">
        <w:rPr>
          <w:rFonts w:asciiTheme="minorEastAsia" w:hAnsiTheme="minorEastAsia" w:hint="eastAsia"/>
          <w:sz w:val="24"/>
          <w:szCs w:val="24"/>
        </w:rPr>
        <w:t>情况的详细描述；主要问题；整改措施等。</w:t>
      </w:r>
      <w:r w:rsidR="00DC6713">
        <w:rPr>
          <w:rFonts w:asciiTheme="minorEastAsia" w:hAnsiTheme="minorEastAsia" w:hint="eastAsia"/>
          <w:sz w:val="24"/>
          <w:szCs w:val="24"/>
        </w:rPr>
        <w:t>各教学承担单位</w:t>
      </w:r>
      <w:r w:rsidR="00D97957">
        <w:rPr>
          <w:rFonts w:asciiTheme="minorEastAsia" w:hAnsiTheme="minorEastAsia" w:hint="eastAsia"/>
          <w:sz w:val="24"/>
          <w:szCs w:val="24"/>
        </w:rPr>
        <w:t>在5月31日前完成检查并上交一份检查报告。</w:t>
      </w:r>
    </w:p>
    <w:p w:rsidR="00960B5F" w:rsidRDefault="00960B5F" w:rsidP="00FB079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94D03" w:rsidRDefault="00863682" w:rsidP="004E4B0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="00EB7638">
        <w:rPr>
          <w:rFonts w:asciiTheme="minorEastAsia" w:hAnsiTheme="minorEastAsia" w:hint="eastAsia"/>
          <w:sz w:val="24"/>
          <w:szCs w:val="24"/>
        </w:rPr>
        <w:t>持续改进和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="00EB7638">
        <w:rPr>
          <w:rFonts w:asciiTheme="minorEastAsia" w:hAnsiTheme="minorEastAsia" w:hint="eastAsia"/>
          <w:sz w:val="24"/>
          <w:szCs w:val="24"/>
        </w:rPr>
        <w:t>督</w:t>
      </w:r>
      <w:r w:rsidR="00960B5F">
        <w:rPr>
          <w:rFonts w:asciiTheme="minorEastAsia" w:hAnsiTheme="minorEastAsia" w:hint="eastAsia"/>
          <w:sz w:val="24"/>
          <w:szCs w:val="24"/>
        </w:rPr>
        <w:t>查</w:t>
      </w:r>
    </w:p>
    <w:p w:rsidR="00863682" w:rsidRDefault="00EB7638" w:rsidP="00FB079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各教学单位和任课教师应高度重视本次专项检查工作，对检查中发现的问题，要</w:t>
      </w:r>
      <w:r w:rsidR="00FB0791">
        <w:rPr>
          <w:rFonts w:asciiTheme="minorEastAsia" w:hAnsiTheme="minorEastAsia" w:hint="eastAsia"/>
          <w:sz w:val="24"/>
          <w:szCs w:val="24"/>
        </w:rPr>
        <w:t>及时总结并</w:t>
      </w:r>
      <w:r>
        <w:rPr>
          <w:rFonts w:asciiTheme="minorEastAsia" w:hAnsiTheme="minorEastAsia" w:hint="eastAsia"/>
          <w:sz w:val="24"/>
          <w:szCs w:val="24"/>
        </w:rPr>
        <w:t>有明确的整改措施，避免类似问题在</w:t>
      </w:r>
      <w:r w:rsidR="00E729F3">
        <w:rPr>
          <w:rFonts w:asciiTheme="minorEastAsia" w:hAnsiTheme="minorEastAsia" w:hint="eastAsia"/>
          <w:sz w:val="24"/>
          <w:szCs w:val="24"/>
        </w:rPr>
        <w:t>今后的</w:t>
      </w:r>
      <w:r>
        <w:rPr>
          <w:rFonts w:asciiTheme="minorEastAsia" w:hAnsiTheme="minorEastAsia" w:hint="eastAsia"/>
          <w:sz w:val="24"/>
          <w:szCs w:val="24"/>
        </w:rPr>
        <w:t>考试中再次出现</w:t>
      </w:r>
      <w:r w:rsidR="00FB0791">
        <w:rPr>
          <w:rFonts w:asciiTheme="minorEastAsia" w:hAnsiTheme="minorEastAsia" w:hint="eastAsia"/>
          <w:sz w:val="24"/>
          <w:szCs w:val="24"/>
        </w:rPr>
        <w:t>。</w:t>
      </w:r>
      <w:r w:rsidR="00D97957">
        <w:rPr>
          <w:rFonts w:asciiTheme="minorEastAsia" w:hAnsiTheme="minorEastAsia" w:hint="eastAsia"/>
          <w:sz w:val="24"/>
          <w:szCs w:val="24"/>
        </w:rPr>
        <w:t>随后</w:t>
      </w:r>
      <w:r w:rsidR="007B2402">
        <w:rPr>
          <w:rFonts w:asciiTheme="minorEastAsia" w:hAnsiTheme="minorEastAsia" w:hint="eastAsia"/>
          <w:sz w:val="24"/>
          <w:szCs w:val="24"/>
        </w:rPr>
        <w:t>学校</w:t>
      </w:r>
      <w:r w:rsidR="00E729F3">
        <w:rPr>
          <w:rFonts w:asciiTheme="minorEastAsia" w:hAnsiTheme="minorEastAsia" w:hint="eastAsia"/>
          <w:sz w:val="24"/>
          <w:szCs w:val="24"/>
        </w:rPr>
        <w:t>将</w:t>
      </w:r>
      <w:r w:rsidR="00863682">
        <w:rPr>
          <w:rFonts w:asciiTheme="minorEastAsia" w:hAnsiTheme="minorEastAsia" w:hint="eastAsia"/>
          <w:sz w:val="24"/>
          <w:szCs w:val="24"/>
        </w:rPr>
        <w:t>组织专家</w:t>
      </w:r>
      <w:r w:rsidR="00E729F3">
        <w:rPr>
          <w:rFonts w:asciiTheme="minorEastAsia" w:hAnsiTheme="minorEastAsia" w:hint="eastAsia"/>
          <w:sz w:val="24"/>
          <w:szCs w:val="24"/>
        </w:rPr>
        <w:t>和教学督导</w:t>
      </w:r>
      <w:r w:rsidR="00863682">
        <w:rPr>
          <w:rFonts w:asciiTheme="minorEastAsia" w:hAnsiTheme="minorEastAsia" w:hint="eastAsia"/>
          <w:sz w:val="24"/>
          <w:szCs w:val="24"/>
        </w:rPr>
        <w:t>对各</w:t>
      </w:r>
      <w:r w:rsidR="00D97957">
        <w:rPr>
          <w:rFonts w:asciiTheme="minorEastAsia" w:hAnsiTheme="minorEastAsia" w:hint="eastAsia"/>
          <w:sz w:val="24"/>
          <w:szCs w:val="24"/>
        </w:rPr>
        <w:t>教学承担单位</w:t>
      </w:r>
      <w:r w:rsidR="00863682">
        <w:rPr>
          <w:rFonts w:asciiTheme="minorEastAsia" w:hAnsiTheme="minorEastAsia" w:hint="eastAsia"/>
          <w:sz w:val="24"/>
          <w:szCs w:val="24"/>
        </w:rPr>
        <w:t>试卷质量及管理进行</w:t>
      </w:r>
      <w:r w:rsidR="00E729F3">
        <w:rPr>
          <w:rFonts w:asciiTheme="minorEastAsia" w:hAnsiTheme="minorEastAsia" w:hint="eastAsia"/>
          <w:sz w:val="24"/>
          <w:szCs w:val="24"/>
        </w:rPr>
        <w:t>督查</w:t>
      </w:r>
      <w:r w:rsidR="00FB0791">
        <w:rPr>
          <w:rFonts w:asciiTheme="minorEastAsia" w:hAnsiTheme="minorEastAsia" w:hint="eastAsia"/>
          <w:sz w:val="24"/>
          <w:szCs w:val="24"/>
        </w:rPr>
        <w:t>，</w:t>
      </w:r>
      <w:r w:rsidR="00FB0791" w:rsidRPr="00FB0791">
        <w:rPr>
          <w:rFonts w:asciiTheme="minorEastAsia" w:hAnsiTheme="minorEastAsia" w:hint="eastAsia"/>
          <w:sz w:val="24"/>
          <w:szCs w:val="24"/>
        </w:rPr>
        <w:t>对存在严重问题的，按照</w:t>
      </w:r>
      <w:r w:rsidR="00FB0791">
        <w:rPr>
          <w:rFonts w:asciiTheme="minorEastAsia" w:hAnsiTheme="minorEastAsia" w:hint="eastAsia"/>
          <w:sz w:val="24"/>
          <w:szCs w:val="24"/>
        </w:rPr>
        <w:t>学校</w:t>
      </w:r>
      <w:r w:rsidR="00FB0791" w:rsidRPr="00FB0791">
        <w:rPr>
          <w:rFonts w:asciiTheme="minorEastAsia" w:hAnsiTheme="minorEastAsia" w:hint="eastAsia"/>
          <w:sz w:val="24"/>
          <w:szCs w:val="24"/>
        </w:rPr>
        <w:t>有关规定进行处理。</w:t>
      </w:r>
    </w:p>
    <w:p w:rsidR="00D97957" w:rsidRPr="00E729F3" w:rsidRDefault="00D97957" w:rsidP="00FB0791">
      <w:pPr>
        <w:rPr>
          <w:rFonts w:asciiTheme="minorEastAsia" w:hAnsiTheme="minorEastAsia"/>
          <w:sz w:val="24"/>
          <w:szCs w:val="24"/>
        </w:rPr>
      </w:pPr>
    </w:p>
    <w:p w:rsidR="00D97957" w:rsidRDefault="00D97957" w:rsidP="00FB0791">
      <w:pPr>
        <w:rPr>
          <w:rFonts w:asciiTheme="minorEastAsia" w:hAnsiTheme="minorEastAsia"/>
          <w:sz w:val="24"/>
          <w:szCs w:val="24"/>
        </w:rPr>
      </w:pPr>
    </w:p>
    <w:p w:rsidR="00D97957" w:rsidRDefault="00D97957" w:rsidP="00FB07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附件１：东莞理工学院课程考试试卷检查指标体系（院、教师自查用）</w:t>
      </w:r>
    </w:p>
    <w:p w:rsidR="00D97957" w:rsidRDefault="004E4B05" w:rsidP="00FB07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</w:t>
      </w:r>
      <w:r w:rsidRPr="004E4B05">
        <w:rPr>
          <w:rFonts w:asciiTheme="minorEastAsia" w:hAnsiTheme="minorEastAsia" w:hint="eastAsia"/>
          <w:sz w:val="24"/>
          <w:szCs w:val="24"/>
        </w:rPr>
        <w:t>东莞理工学院试卷专项检查整改报告</w:t>
      </w:r>
    </w:p>
    <w:p w:rsidR="00D97957" w:rsidRDefault="00D97957" w:rsidP="00FB07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D97957" w:rsidRDefault="00D97957" w:rsidP="00FB0791">
      <w:pPr>
        <w:rPr>
          <w:rFonts w:asciiTheme="minorEastAsia" w:hAnsiTheme="minorEastAsia"/>
          <w:sz w:val="24"/>
          <w:szCs w:val="24"/>
        </w:rPr>
      </w:pPr>
    </w:p>
    <w:p w:rsidR="00D97957" w:rsidRDefault="00D97957" w:rsidP="00FB0791">
      <w:pPr>
        <w:rPr>
          <w:rFonts w:asciiTheme="minorEastAsia" w:hAnsiTheme="minorEastAsia"/>
          <w:sz w:val="24"/>
          <w:szCs w:val="24"/>
        </w:rPr>
      </w:pPr>
    </w:p>
    <w:p w:rsidR="00D97957" w:rsidRDefault="00D97957" w:rsidP="00FB0791">
      <w:pPr>
        <w:rPr>
          <w:rFonts w:asciiTheme="minorEastAsia" w:hAnsiTheme="minorEastAsia"/>
          <w:sz w:val="24"/>
          <w:szCs w:val="24"/>
        </w:rPr>
      </w:pPr>
    </w:p>
    <w:p w:rsidR="00D97957" w:rsidRDefault="00D97957" w:rsidP="00FB079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二Ｏ一七年五月</w:t>
      </w:r>
      <w:r w:rsidR="00FB0791">
        <w:rPr>
          <w:rFonts w:asciiTheme="minorEastAsia" w:hAnsiTheme="minorEastAsia" w:hint="eastAsia"/>
          <w:sz w:val="24"/>
          <w:szCs w:val="24"/>
        </w:rPr>
        <w:t>十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D97957" w:rsidRDefault="00D97957" w:rsidP="00FB07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D97957" w:rsidRDefault="00D97957" w:rsidP="00D97957">
      <w:pPr>
        <w:rPr>
          <w:rFonts w:eastAsia="黑体"/>
          <w:b/>
          <w:bCs/>
          <w:spacing w:val="-6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附件１</w:t>
      </w:r>
      <w:r w:rsidRPr="00CE4F92">
        <w:rPr>
          <w:rFonts w:eastAsia="黑体" w:hint="eastAsia"/>
          <w:b/>
          <w:bCs/>
          <w:spacing w:val="-6"/>
          <w:sz w:val="28"/>
          <w:szCs w:val="28"/>
        </w:rPr>
        <w:t>东莞理工学院课程考试试卷</w:t>
      </w:r>
      <w:r>
        <w:rPr>
          <w:rFonts w:eastAsia="黑体" w:hint="eastAsia"/>
          <w:b/>
          <w:bCs/>
          <w:spacing w:val="-6"/>
          <w:sz w:val="28"/>
          <w:szCs w:val="28"/>
        </w:rPr>
        <w:t>检查</w:t>
      </w:r>
      <w:r w:rsidRPr="00CE4F92">
        <w:rPr>
          <w:rFonts w:eastAsia="黑体" w:hint="eastAsia"/>
          <w:b/>
          <w:bCs/>
          <w:spacing w:val="-6"/>
          <w:sz w:val="28"/>
          <w:szCs w:val="28"/>
        </w:rPr>
        <w:t>指标体系</w:t>
      </w:r>
      <w:r>
        <w:rPr>
          <w:rFonts w:eastAsia="黑体" w:hint="eastAsia"/>
          <w:b/>
          <w:bCs/>
          <w:spacing w:val="-6"/>
          <w:sz w:val="28"/>
          <w:szCs w:val="28"/>
        </w:rPr>
        <w:t>（学院、教师自查用）</w:t>
      </w:r>
    </w:p>
    <w:p w:rsidR="00D97957" w:rsidRPr="00650AE8" w:rsidRDefault="00D97957" w:rsidP="00D97957">
      <w:pPr>
        <w:pStyle w:val="a6"/>
        <w:spacing w:afterLines="50" w:after="156"/>
        <w:ind w:firstLine="456"/>
        <w:jc w:val="center"/>
        <w:rPr>
          <w:rFonts w:eastAsia="黑体"/>
          <w:b/>
          <w:bCs/>
          <w:spacing w:val="-6"/>
          <w:sz w:val="28"/>
          <w:szCs w:val="28"/>
        </w:rPr>
      </w:pPr>
      <w:r w:rsidRPr="00650AE8">
        <w:rPr>
          <w:rFonts w:eastAsia="黑体" w:hint="eastAsia"/>
          <w:bCs/>
          <w:spacing w:val="-6"/>
          <w:sz w:val="24"/>
        </w:rPr>
        <w:t>课程名称：</w:t>
      </w:r>
      <w:r w:rsidRPr="00650AE8">
        <w:rPr>
          <w:rFonts w:eastAsia="黑体" w:hint="eastAsia"/>
          <w:bCs/>
          <w:spacing w:val="-6"/>
          <w:sz w:val="24"/>
          <w:u w:val="single"/>
        </w:rPr>
        <w:t xml:space="preserve">                </w:t>
      </w:r>
      <w:r w:rsidRPr="00650AE8">
        <w:rPr>
          <w:rFonts w:eastAsia="黑体" w:hint="eastAsia"/>
          <w:bCs/>
          <w:spacing w:val="-6"/>
          <w:sz w:val="24"/>
        </w:rPr>
        <w:t>任课教师：</w:t>
      </w:r>
      <w:r w:rsidRPr="00650AE8">
        <w:rPr>
          <w:rFonts w:eastAsia="黑体" w:hint="eastAsia"/>
          <w:bCs/>
          <w:spacing w:val="-6"/>
          <w:sz w:val="24"/>
          <w:u w:val="single"/>
        </w:rPr>
        <w:t xml:space="preserve">          </w:t>
      </w:r>
      <w:r w:rsidRPr="00650AE8">
        <w:rPr>
          <w:rFonts w:eastAsia="黑体" w:hint="eastAsia"/>
          <w:bCs/>
          <w:spacing w:val="-6"/>
          <w:sz w:val="24"/>
        </w:rPr>
        <w:t>授课班级</w:t>
      </w:r>
      <w:r w:rsidRPr="00650AE8">
        <w:rPr>
          <w:rFonts w:eastAsia="黑体" w:hint="eastAsia"/>
          <w:bCs/>
          <w:spacing w:val="-6"/>
          <w:sz w:val="24"/>
          <w:u w:val="single"/>
        </w:rPr>
        <w:t>：</w:t>
      </w:r>
      <w:r w:rsidRPr="00650AE8">
        <w:rPr>
          <w:rFonts w:eastAsia="黑体" w:hint="eastAsia"/>
          <w:bCs/>
          <w:spacing w:val="-6"/>
          <w:sz w:val="24"/>
          <w:u w:val="single"/>
        </w:rPr>
        <w:t xml:space="preserve">      </w:t>
      </w:r>
      <w:r w:rsidRPr="00650AE8">
        <w:rPr>
          <w:rFonts w:eastAsia="黑体" w:hint="eastAsia"/>
          <w:bCs/>
          <w:spacing w:val="-6"/>
          <w:sz w:val="24"/>
        </w:rPr>
        <w:t>自评得分</w:t>
      </w:r>
      <w:r w:rsidRPr="00650AE8">
        <w:rPr>
          <w:rFonts w:eastAsia="黑体" w:hint="eastAsia"/>
          <w:bCs/>
          <w:spacing w:val="-6"/>
          <w:sz w:val="24"/>
          <w:u w:val="single"/>
        </w:rPr>
        <w:t>：</w:t>
      </w:r>
      <w:r>
        <w:rPr>
          <w:rFonts w:eastAsia="黑体" w:hint="eastAsia"/>
          <w:bCs/>
          <w:spacing w:val="-6"/>
          <w:sz w:val="24"/>
          <w:u w:val="single"/>
        </w:rPr>
        <w:t xml:space="preserve"> </w:t>
      </w:r>
      <w:r w:rsidRPr="00650AE8">
        <w:rPr>
          <w:rFonts w:eastAsia="黑体" w:hint="eastAsia"/>
          <w:bCs/>
          <w:spacing w:val="-6"/>
          <w:sz w:val="24"/>
          <w:u w:val="single"/>
        </w:rPr>
        <w:t xml:space="preserve">       </w:t>
      </w:r>
      <w:r>
        <w:rPr>
          <w:rFonts w:eastAsia="黑体" w:hint="eastAsia"/>
          <w:bCs/>
          <w:spacing w:val="-6"/>
          <w:sz w:val="24"/>
        </w:rPr>
        <w:t xml:space="preserve"> </w:t>
      </w:r>
    </w:p>
    <w:tbl>
      <w:tblPr>
        <w:tblW w:w="9734" w:type="dxa"/>
        <w:jc w:val="center"/>
        <w:tblInd w:w="14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3666"/>
        <w:gridCol w:w="3173"/>
        <w:gridCol w:w="444"/>
        <w:gridCol w:w="440"/>
        <w:gridCol w:w="420"/>
        <w:gridCol w:w="460"/>
        <w:gridCol w:w="417"/>
      </w:tblGrid>
      <w:tr w:rsidR="00D97957" w:rsidRPr="005C30F2" w:rsidTr="005C30F2">
        <w:trPr>
          <w:cantSplit/>
          <w:trHeight w:val="275"/>
          <w:jc w:val="center"/>
        </w:trPr>
        <w:tc>
          <w:tcPr>
            <w:tcW w:w="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68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指标内涵与评估标准</w:t>
            </w:r>
          </w:p>
        </w:tc>
        <w:tc>
          <w:tcPr>
            <w:tcW w:w="4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1737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系数</w:t>
            </w:r>
          </w:p>
        </w:tc>
      </w:tr>
      <w:tr w:rsidR="00D97957" w:rsidRPr="005C30F2" w:rsidTr="005C30F2">
        <w:trPr>
          <w:cantSplit/>
          <w:trHeight w:val="272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</w:t>
            </w: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级标准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</w:t>
            </w: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级标准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2" w:rsidRPr="005C30F2" w:rsidRDefault="005C30F2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Ａ</w:t>
            </w:r>
          </w:p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1.0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5C30F2" w:rsidP="001851A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Ｂ</w:t>
            </w:r>
            <w:r w:rsidR="00D97957"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0.8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2" w:rsidRPr="005C30F2" w:rsidRDefault="005C30F2" w:rsidP="001851A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Ｃ</w:t>
            </w:r>
          </w:p>
          <w:p w:rsidR="00D97957" w:rsidRPr="005C30F2" w:rsidRDefault="00D97957" w:rsidP="001851A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0.6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2" w:rsidRPr="005C30F2" w:rsidRDefault="005C30F2" w:rsidP="00BE1879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Ｄ</w:t>
            </w:r>
          </w:p>
          <w:p w:rsidR="00D97957" w:rsidRPr="005C30F2" w:rsidRDefault="00D97957" w:rsidP="00BE1879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0.4</w:t>
            </w:r>
          </w:p>
        </w:tc>
      </w:tr>
      <w:tr w:rsidR="00D97957" w:rsidRPr="005C30F2" w:rsidTr="005C30F2">
        <w:trPr>
          <w:cantSplit/>
          <w:trHeight w:val="54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试题</w:t>
            </w: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质量</w:t>
            </w:r>
          </w:p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（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30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试题覆盖课程教学大纲所要求的内容，注重基本知识的综合性应用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试题覆盖课程教学大纲所要求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70%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的基本内容，有综合性题目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97957" w:rsidRPr="005C30F2" w:rsidTr="005C30F2">
        <w:trPr>
          <w:cantSplit/>
          <w:trHeight w:val="836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题型多样，至少设计四种题型以上，主观题和客观题比例恰当；试卷难易程度适合，题量适中，分值分配合理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有不少于三种的题型设计；试卷难易度、题量及分值分配较为合理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97957" w:rsidRPr="005C30F2" w:rsidTr="005C30F2">
        <w:trPr>
          <w:cantSplit/>
          <w:trHeight w:val="696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试题文字表述准确，指导语表达准确，题意清晰；分值标注清晰且符合命题规范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试题文字表述准确，指导语无歧义，题意清晰；无内容错误，印制规范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97957" w:rsidRPr="005C30F2" w:rsidTr="005C30F2">
        <w:trPr>
          <w:cantSplit/>
          <w:trHeight w:val="638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有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A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、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B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试题；每套试题的格式统一，难易程度、题型和题量相当，且重复率低于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5%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有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A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、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B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试题；每套试题的格式统一，难易程度、题型和题量相当，且重复率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10-15%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97957" w:rsidRPr="005C30F2" w:rsidTr="005C30F2">
        <w:trPr>
          <w:cantSplit/>
          <w:trHeight w:val="66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参考答案与评分标准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（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20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每套试题均有详细的参考答案与评分标准，并标明得分点和综合评分标准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每套试题均有参考答案与评分标准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97957" w:rsidRPr="005C30F2" w:rsidTr="005C30F2">
        <w:trPr>
          <w:cantSplit/>
          <w:trHeight w:val="1023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pStyle w:val="1"/>
              <w:spacing w:after="0"/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C30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客观性试题答案确定、唯一；主观性试题答案准确、全面、简洁，采取据</w:t>
            </w:r>
            <w:proofErr w:type="gramStart"/>
            <w:r w:rsidRPr="005C30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要点赋分方式</w:t>
            </w:r>
            <w:proofErr w:type="gramEnd"/>
            <w:r w:rsidRPr="005C30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；答案无错误；规格相同课程采用了统一试卷和评分标准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客观性试题答案确定、唯一；主观性试题答案</w:t>
            </w:r>
            <w:proofErr w:type="gramStart"/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有赋分要点</w:t>
            </w:r>
            <w:proofErr w:type="gramEnd"/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97957" w:rsidRPr="005C30F2" w:rsidTr="005C30F2">
        <w:trPr>
          <w:cantSplit/>
          <w:trHeight w:val="765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试卷</w:t>
            </w:r>
          </w:p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评阅</w:t>
            </w: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（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20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严格按照参考答案与评分标准评阅试卷；按规定教考分离的课程，实行了集体流水阅卷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按照参考答案与评分标准评卷；教考分离的课程，实行了流水阅卷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97957" w:rsidRPr="005C30F2" w:rsidTr="005C30F2">
        <w:trPr>
          <w:cantSplit/>
          <w:trHeight w:val="855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一律用红笔进行阅卷，统一使用记正分方式记分；记分规范，试卷评阅人签字完整、清晰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用红笔阅卷；有试卷评阅人签字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97957" w:rsidRPr="005C30F2" w:rsidTr="005C30F2">
        <w:trPr>
          <w:cantSplit/>
          <w:trHeight w:val="654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eastAsiaTheme="minorEastAsia" w:hAnsi="Times New Roman"/>
                <w:bCs/>
              </w:rPr>
            </w:pPr>
            <w:r w:rsidRPr="005C30F2">
              <w:rPr>
                <w:rFonts w:ascii="Times New Roman" w:eastAsiaTheme="minorEastAsia" w:hAnsi="Times New Roman"/>
                <w:bCs/>
              </w:rPr>
              <w:t>无错判、漏判、记分、统分等错误；无随意加分、减分或更改分数现象</w:t>
            </w:r>
            <w:r w:rsidRPr="005C30F2">
              <w:rPr>
                <w:rFonts w:ascii="Times New Roman" w:eastAsiaTheme="minorEastAsia" w:hAnsi="Times New Roman"/>
                <w:bCs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无错判、漏判、统分错误；正常分数更改符合规范，并</w:t>
            </w:r>
            <w:proofErr w:type="gramStart"/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有改分教师</w:t>
            </w:r>
            <w:proofErr w:type="gramEnd"/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签名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97957" w:rsidRPr="005C30F2" w:rsidTr="005C30F2">
        <w:trPr>
          <w:cantSplit/>
          <w:trHeight w:val="526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ind w:firstLineChars="100" w:firstLine="201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 w:rsidRPr="005C30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>总评</w:t>
            </w:r>
          </w:p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 w:rsidRPr="005C30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>成绩</w:t>
            </w:r>
          </w:p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（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13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eastAsiaTheme="minorEastAsia" w:hAnsi="Times New Roman"/>
                <w:bCs/>
              </w:rPr>
            </w:pPr>
            <w:r w:rsidRPr="005C30F2">
              <w:rPr>
                <w:rFonts w:ascii="Times New Roman" w:eastAsiaTheme="minorEastAsia" w:hAnsi="Times New Roman"/>
                <w:bCs/>
              </w:rPr>
              <w:t>有平时成绩评分标准</w:t>
            </w:r>
            <w:r w:rsidRPr="005C30F2">
              <w:rPr>
                <w:rFonts w:ascii="Times New Roman" w:eastAsiaTheme="minorEastAsia" w:hAnsi="Times New Roman"/>
                <w:bCs/>
              </w:rPr>
              <w:t>,</w:t>
            </w:r>
            <w:r w:rsidRPr="005C30F2">
              <w:rPr>
                <w:rFonts w:ascii="Times New Roman" w:eastAsiaTheme="minorEastAsia" w:hAnsi="Times New Roman"/>
                <w:bCs/>
              </w:rPr>
              <w:t>平时成绩包括作业、实验、小测验、期中测验、课堂提问、考勤等；依据充分、评分合理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eastAsiaTheme="minorEastAsia" w:hAnsi="Times New Roman"/>
                <w:bCs/>
              </w:rPr>
            </w:pPr>
            <w:r w:rsidRPr="005C30F2">
              <w:rPr>
                <w:rFonts w:ascii="Times New Roman" w:eastAsiaTheme="minorEastAsia" w:hAnsi="Times New Roman"/>
                <w:bCs/>
              </w:rPr>
              <w:t>平时成绩包括作业、实验、小测验、期中测验、考勤等；平时成绩有依据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97957" w:rsidRPr="005C30F2" w:rsidTr="005C30F2">
        <w:trPr>
          <w:cantSplit/>
          <w:trHeight w:val="526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eastAsiaTheme="minorEastAsia" w:hAnsi="Times New Roman"/>
                <w:bCs/>
              </w:rPr>
            </w:pPr>
            <w:r w:rsidRPr="005C30F2">
              <w:rPr>
                <w:rFonts w:ascii="Times New Roman" w:eastAsiaTheme="minorEastAsia" w:hAnsi="Times New Roman"/>
                <w:bCs/>
              </w:rPr>
              <w:t>严格按照平时成绩和考试成绩计算规则，评定学生课程总评成绩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eastAsiaTheme="minorEastAsia" w:hAnsi="Times New Roman"/>
                <w:bCs/>
              </w:rPr>
            </w:pPr>
            <w:r w:rsidRPr="005C30F2">
              <w:rPr>
                <w:rFonts w:ascii="Times New Roman" w:eastAsiaTheme="minorEastAsia" w:hAnsi="Times New Roman"/>
                <w:bCs/>
              </w:rPr>
              <w:t>按照平时成绩和考试成绩计算规则评定学生课程总评成绩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7957" w:rsidRPr="005C30F2" w:rsidTr="005C30F2">
        <w:trPr>
          <w:cantSplit/>
          <w:trHeight w:val="122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 w:rsidRPr="005C30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>试卷</w:t>
            </w:r>
            <w:r w:rsidRPr="005C30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 w:rsidRPr="005C30F2"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  <w:t>分析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（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12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根据学生答题情况，对课程教学目标达成情况、学生对基础知识及应用能力的掌握程度进行科学系统的分析总结；对教学中的问题有详细的反思，并提出针对性的改进措施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对课程教学目标达成情况进行了总结分析；对考试成绩反应的共性问题提出有改进措施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97957" w:rsidRPr="005C30F2" w:rsidTr="005C30F2">
        <w:trPr>
          <w:cantSplit/>
          <w:trHeight w:val="6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试卷</w:t>
            </w:r>
          </w:p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管理</w:t>
            </w:r>
          </w:p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（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5</w:t>
            </w:r>
            <w:r w:rsidRPr="005C30F2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eastAsiaTheme="minorEastAsia" w:hAnsi="Times New Roman"/>
                <w:bCs/>
              </w:rPr>
            </w:pPr>
            <w:r w:rsidRPr="005C30F2">
              <w:rPr>
                <w:rFonts w:ascii="Times New Roman" w:eastAsiaTheme="minorEastAsia" w:hAnsi="Times New Roman"/>
                <w:bCs/>
              </w:rPr>
              <w:t>试卷的命题、印制审核审批手续齐全；试卷相关材料保存规范、齐全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试卷命题审批手续齐全，试卷相关材料保存齐全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957" w:rsidRPr="005C30F2" w:rsidRDefault="00D97957" w:rsidP="007A580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  <w:p w:rsidR="00D97957" w:rsidRPr="005C30F2" w:rsidRDefault="00D97957" w:rsidP="007A5804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0F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97957" w:rsidRDefault="005C30F2" w:rsidP="00D97957">
      <w:pPr>
        <w:rPr>
          <w:rStyle w:val="a4"/>
          <w:rFonts w:hint="eastAsia"/>
          <w:b w:val="0"/>
        </w:rPr>
      </w:pPr>
      <w:r w:rsidRPr="005C30F2">
        <w:rPr>
          <w:rStyle w:val="a4"/>
          <w:rFonts w:hint="eastAsia"/>
          <w:b w:val="0"/>
        </w:rPr>
        <w:t>说明：</w:t>
      </w:r>
      <w:r w:rsidR="00D97957" w:rsidRPr="005C30F2">
        <w:rPr>
          <w:rStyle w:val="a4"/>
          <w:rFonts w:hint="eastAsia"/>
          <w:b w:val="0"/>
        </w:rPr>
        <w:t>各项目实际得分＝项目分值×所获等级系数。单门课程考试试卷评分＝∑各项目实际得分。</w:t>
      </w:r>
      <w:r>
        <w:rPr>
          <w:rStyle w:val="a4"/>
          <w:rFonts w:hint="eastAsia"/>
          <w:b w:val="0"/>
        </w:rPr>
        <w:t>教学承担单位</w:t>
      </w:r>
      <w:r w:rsidR="00D97957" w:rsidRPr="005C30F2">
        <w:rPr>
          <w:rStyle w:val="a4"/>
          <w:rFonts w:hint="eastAsia"/>
          <w:b w:val="0"/>
        </w:rPr>
        <w:t>课程考试试卷评分＝∑抽查课程试卷评分</w:t>
      </w:r>
      <w:r w:rsidR="00D97957" w:rsidRPr="005C30F2">
        <w:rPr>
          <w:rStyle w:val="a4"/>
          <w:rFonts w:hint="eastAsia"/>
          <w:b w:val="0"/>
        </w:rPr>
        <w:t>/</w:t>
      </w:r>
      <w:r w:rsidR="00D97957" w:rsidRPr="005C30F2">
        <w:rPr>
          <w:rStyle w:val="a4"/>
          <w:rFonts w:hint="eastAsia"/>
          <w:b w:val="0"/>
        </w:rPr>
        <w:t>课程门数。</w:t>
      </w:r>
    </w:p>
    <w:p w:rsidR="007D7229" w:rsidRDefault="007D7229">
      <w:pPr>
        <w:widowControl/>
        <w:jc w:val="left"/>
        <w:rPr>
          <w:rStyle w:val="a4"/>
          <w:b w:val="0"/>
        </w:rPr>
      </w:pPr>
      <w:r>
        <w:rPr>
          <w:rStyle w:val="a4"/>
          <w:b w:val="0"/>
        </w:rPr>
        <w:br w:type="page"/>
      </w:r>
    </w:p>
    <w:p w:rsidR="007D7229" w:rsidRPr="00115E15" w:rsidRDefault="007D7229" w:rsidP="007D7229">
      <w:pPr>
        <w:jc w:val="center"/>
        <w:rPr>
          <w:rFonts w:ascii="黑体" w:eastAsia="黑体" w:hAnsi="宋体" w:hint="eastAsia"/>
          <w:b/>
          <w:color w:val="000000"/>
          <w:sz w:val="32"/>
        </w:rPr>
      </w:pPr>
      <w:r>
        <w:rPr>
          <w:rFonts w:ascii="黑体" w:eastAsia="黑体" w:hAnsi="宋体" w:hint="eastAsia"/>
          <w:b/>
          <w:color w:val="000000"/>
          <w:sz w:val="32"/>
        </w:rPr>
        <w:lastRenderedPageBreak/>
        <w:t>东莞理工</w:t>
      </w:r>
      <w:r w:rsidRPr="009F1BCD">
        <w:rPr>
          <w:rFonts w:ascii="黑体" w:eastAsia="黑体" w:hAnsi="宋体" w:hint="eastAsia"/>
          <w:b/>
          <w:color w:val="000000"/>
          <w:sz w:val="32"/>
        </w:rPr>
        <w:t>学院试卷专项检查整改报告</w:t>
      </w:r>
    </w:p>
    <w:p w:rsidR="007D7229" w:rsidRDefault="007D7229" w:rsidP="007D7229">
      <w:pPr>
        <w:jc w:val="center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学院公章（负责人</w:t>
      </w:r>
      <w:r w:rsidRPr="000A108A">
        <w:rPr>
          <w:rFonts w:ascii="ˎ̥" w:hAnsi="ˎ̥" w:cs="宋体" w:hint="eastAsia"/>
          <w:kern w:val="0"/>
          <w:sz w:val="28"/>
          <w:szCs w:val="28"/>
        </w:rPr>
        <w:t>签字）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</w:t>
      </w:r>
      <w:r w:rsidRPr="000A108A">
        <w:rPr>
          <w:rFonts w:ascii="ˎ̥" w:hAnsi="ˎ̥" w:cs="宋体" w:hint="eastAsia"/>
          <w:kern w:val="0"/>
          <w:sz w:val="28"/>
          <w:szCs w:val="28"/>
        </w:rPr>
        <w:t>201</w:t>
      </w:r>
      <w:r>
        <w:rPr>
          <w:rFonts w:ascii="ˎ̥" w:hAnsi="ˎ̥" w:cs="宋体" w:hint="eastAsia"/>
          <w:kern w:val="0"/>
          <w:sz w:val="28"/>
          <w:szCs w:val="28"/>
        </w:rPr>
        <w:t>7</w:t>
      </w:r>
      <w:r w:rsidRPr="000A108A">
        <w:rPr>
          <w:rFonts w:ascii="ˎ̥" w:hAnsi="ˎ̥" w:cs="宋体" w:hint="eastAsia"/>
          <w:kern w:val="0"/>
          <w:sz w:val="28"/>
          <w:szCs w:val="28"/>
        </w:rPr>
        <w:t>年</w:t>
      </w:r>
      <w:r w:rsidRPr="000A108A">
        <w:rPr>
          <w:rFonts w:ascii="ˎ̥" w:hAnsi="ˎ̥" w:cs="宋体" w:hint="eastAsia"/>
          <w:kern w:val="0"/>
          <w:sz w:val="28"/>
          <w:szCs w:val="28"/>
        </w:rPr>
        <w:t xml:space="preserve">  </w:t>
      </w:r>
      <w:r w:rsidRPr="000A108A">
        <w:rPr>
          <w:rFonts w:ascii="ˎ̥" w:hAnsi="ˎ̥" w:cs="宋体" w:hint="eastAsia"/>
          <w:kern w:val="0"/>
          <w:sz w:val="28"/>
          <w:szCs w:val="28"/>
        </w:rPr>
        <w:t>月</w:t>
      </w:r>
      <w:r w:rsidRPr="000A108A">
        <w:rPr>
          <w:rFonts w:ascii="ˎ̥" w:hAnsi="ˎ̥" w:cs="宋体" w:hint="eastAsia"/>
          <w:kern w:val="0"/>
          <w:sz w:val="28"/>
          <w:szCs w:val="28"/>
        </w:rPr>
        <w:t xml:space="preserve">  </w:t>
      </w:r>
      <w:r w:rsidRPr="000A108A">
        <w:rPr>
          <w:rFonts w:ascii="ˎ̥" w:hAnsi="ˎ̥" w:cs="宋体" w:hint="eastAsia"/>
          <w:kern w:val="0"/>
          <w:sz w:val="28"/>
          <w:szCs w:val="28"/>
        </w:rPr>
        <w:t>日</w:t>
      </w:r>
    </w:p>
    <w:p w:rsidR="007D7229" w:rsidRPr="00A46041" w:rsidRDefault="007D7229" w:rsidP="007D7229">
      <w:pPr>
        <w:ind w:firstLineChars="150" w:firstLine="422"/>
        <w:rPr>
          <w:rFonts w:asciiTheme="minorEastAsia" w:hAnsiTheme="minorEastAsia" w:hint="eastAsia"/>
          <w:sz w:val="24"/>
          <w:szCs w:val="24"/>
        </w:rPr>
      </w:pPr>
      <w:r w:rsidRPr="005148EE">
        <w:rPr>
          <w:rFonts w:ascii="ˎ̥" w:hAnsi="ˎ̥" w:cs="宋体" w:hint="eastAsia"/>
          <w:b/>
          <w:kern w:val="0"/>
          <w:sz w:val="28"/>
          <w:szCs w:val="28"/>
        </w:rPr>
        <w:t>一、</w:t>
      </w:r>
      <w:r>
        <w:rPr>
          <w:rFonts w:ascii="ˎ̥" w:hAnsi="ˎ̥" w:cs="宋体" w:hint="eastAsia"/>
          <w:b/>
          <w:kern w:val="0"/>
          <w:sz w:val="28"/>
          <w:szCs w:val="28"/>
        </w:rPr>
        <w:t>总体</w:t>
      </w:r>
      <w:r w:rsidRPr="005148EE">
        <w:rPr>
          <w:rFonts w:ascii="ˎ̥" w:hAnsi="ˎ̥" w:cs="宋体" w:hint="eastAsia"/>
          <w:b/>
          <w:kern w:val="0"/>
          <w:sz w:val="28"/>
          <w:szCs w:val="28"/>
        </w:rPr>
        <w:t>情况</w:t>
      </w:r>
      <w:r w:rsidRPr="00A46041">
        <w:rPr>
          <w:rFonts w:asciiTheme="minorEastAsia" w:hAnsiTheme="minorEastAsia" w:hint="eastAsia"/>
          <w:sz w:val="24"/>
          <w:szCs w:val="24"/>
        </w:rPr>
        <w:t>（开展试卷专项检查的总体情况以及自查和抽查的课程试卷门数）</w:t>
      </w:r>
    </w:p>
    <w:p w:rsidR="00A46041" w:rsidRDefault="007D7229" w:rsidP="007D7229">
      <w:pPr>
        <w:rPr>
          <w:rFonts w:ascii="ˎ̥" w:hAnsi="ˎ̥" w:cs="宋体" w:hint="eastAsia"/>
          <w:kern w:val="0"/>
          <w:sz w:val="28"/>
          <w:szCs w:val="28"/>
        </w:rPr>
      </w:pPr>
      <w:r w:rsidRPr="005148EE">
        <w:rPr>
          <w:rFonts w:ascii="ˎ̥" w:hAnsi="ˎ̥" w:cs="宋体" w:hint="eastAsia"/>
          <w:kern w:val="0"/>
          <w:sz w:val="28"/>
          <w:szCs w:val="28"/>
        </w:rPr>
        <w:t xml:space="preserve">   </w:t>
      </w:r>
    </w:p>
    <w:p w:rsidR="007D7229" w:rsidRPr="005148EE" w:rsidRDefault="007D7229" w:rsidP="00A46041">
      <w:pPr>
        <w:ind w:firstLineChars="100" w:firstLine="281"/>
        <w:rPr>
          <w:rFonts w:ascii="ˎ̥" w:hAnsi="ˎ̥" w:cs="宋体" w:hint="eastAsia"/>
          <w:b/>
          <w:kern w:val="0"/>
          <w:sz w:val="28"/>
          <w:szCs w:val="28"/>
        </w:rPr>
      </w:pPr>
      <w:r w:rsidRPr="005148EE">
        <w:rPr>
          <w:rFonts w:ascii="ˎ̥" w:hAnsi="ˎ̥" w:cs="宋体" w:hint="eastAsia"/>
          <w:b/>
          <w:kern w:val="0"/>
          <w:sz w:val="28"/>
          <w:szCs w:val="28"/>
        </w:rPr>
        <w:t>二、试卷质量评价</w:t>
      </w:r>
      <w:r w:rsidRPr="005148EE">
        <w:rPr>
          <w:rFonts w:ascii="ˎ̥" w:hAnsi="ˎ̥" w:cs="宋体" w:hint="eastAsia"/>
          <w:kern w:val="0"/>
          <w:sz w:val="28"/>
          <w:szCs w:val="28"/>
        </w:rPr>
        <w:t>（</w:t>
      </w:r>
      <w:r w:rsidR="00A46041" w:rsidRPr="00194D03">
        <w:rPr>
          <w:rFonts w:asciiTheme="minorEastAsia" w:hAnsiTheme="minorEastAsia" w:hint="eastAsia"/>
          <w:sz w:val="24"/>
          <w:szCs w:val="24"/>
        </w:rPr>
        <w:t>以定量为主的方式对评估指标各项</w:t>
      </w:r>
      <w:proofErr w:type="gramStart"/>
      <w:r w:rsidR="00A46041" w:rsidRPr="00194D03">
        <w:rPr>
          <w:rFonts w:asciiTheme="minorEastAsia" w:hAnsiTheme="minorEastAsia" w:hint="eastAsia"/>
          <w:sz w:val="24"/>
          <w:szCs w:val="24"/>
        </w:rPr>
        <w:t>目</w:t>
      </w:r>
      <w:r w:rsidR="00A46041">
        <w:rPr>
          <w:rFonts w:asciiTheme="minorEastAsia" w:hAnsiTheme="minorEastAsia" w:hint="eastAsia"/>
          <w:sz w:val="24"/>
          <w:szCs w:val="24"/>
        </w:rPr>
        <w:t>检</w:t>
      </w:r>
      <w:r w:rsidR="00A46041" w:rsidRPr="00194D03">
        <w:rPr>
          <w:rFonts w:asciiTheme="minorEastAsia" w:hAnsiTheme="minorEastAsia" w:hint="eastAsia"/>
          <w:sz w:val="24"/>
          <w:szCs w:val="24"/>
        </w:rPr>
        <w:t>查</w:t>
      </w:r>
      <w:proofErr w:type="gramEnd"/>
      <w:r w:rsidR="00A46041" w:rsidRPr="00194D03">
        <w:rPr>
          <w:rFonts w:asciiTheme="minorEastAsia" w:hAnsiTheme="minorEastAsia" w:hint="eastAsia"/>
          <w:sz w:val="24"/>
          <w:szCs w:val="24"/>
        </w:rPr>
        <w:t>情况的详细描述；</w:t>
      </w:r>
      <w:r w:rsidRPr="00A46041">
        <w:rPr>
          <w:rFonts w:asciiTheme="minorEastAsia" w:hAnsiTheme="minorEastAsia" w:hint="eastAsia"/>
          <w:sz w:val="24"/>
          <w:szCs w:val="24"/>
        </w:rPr>
        <w:t>试卷专项检查发现和存在的主要问题）</w:t>
      </w:r>
    </w:p>
    <w:p w:rsidR="00A46041" w:rsidRDefault="007D7229" w:rsidP="007D7229">
      <w:pPr>
        <w:rPr>
          <w:rFonts w:ascii="ˎ̥" w:hAnsi="ˎ̥" w:cs="宋体" w:hint="eastAsia"/>
          <w:kern w:val="0"/>
          <w:sz w:val="28"/>
          <w:szCs w:val="28"/>
        </w:rPr>
      </w:pPr>
      <w:r w:rsidRPr="005148EE">
        <w:rPr>
          <w:rFonts w:ascii="ˎ̥" w:hAnsi="ˎ̥" w:cs="宋体" w:hint="eastAsia"/>
          <w:kern w:val="0"/>
          <w:sz w:val="28"/>
          <w:szCs w:val="28"/>
        </w:rPr>
        <w:t xml:space="preserve">  </w:t>
      </w:r>
    </w:p>
    <w:p w:rsidR="007D7229" w:rsidRPr="005148EE" w:rsidRDefault="007D7229" w:rsidP="00A46041">
      <w:pPr>
        <w:ind w:firstLineChars="100" w:firstLine="281"/>
        <w:rPr>
          <w:rFonts w:ascii="ˎ̥" w:hAnsi="ˎ̥" w:cs="宋体" w:hint="eastAsia"/>
          <w:b/>
          <w:kern w:val="0"/>
          <w:sz w:val="28"/>
          <w:szCs w:val="28"/>
        </w:rPr>
      </w:pPr>
      <w:bookmarkStart w:id="0" w:name="_GoBack"/>
      <w:bookmarkEnd w:id="0"/>
      <w:r w:rsidRPr="005148EE">
        <w:rPr>
          <w:rFonts w:ascii="ˎ̥" w:hAnsi="ˎ̥" w:cs="宋体" w:hint="eastAsia"/>
          <w:b/>
          <w:kern w:val="0"/>
          <w:sz w:val="28"/>
          <w:szCs w:val="28"/>
        </w:rPr>
        <w:t>三、改进措施</w:t>
      </w:r>
      <w:r w:rsidRPr="005148EE">
        <w:rPr>
          <w:rFonts w:ascii="ˎ̥" w:hAnsi="ˎ̥" w:cs="宋体" w:hint="eastAsia"/>
          <w:kern w:val="0"/>
          <w:sz w:val="28"/>
          <w:szCs w:val="28"/>
        </w:rPr>
        <w:t>（针对试卷专项检查存在问题制定的改进措施）</w:t>
      </w:r>
    </w:p>
    <w:p w:rsidR="007D7229" w:rsidRDefault="007D7229" w:rsidP="007D7229">
      <w:pPr>
        <w:rPr>
          <w:rFonts w:ascii="ˎ̥" w:hAnsi="ˎ̥" w:cs="宋体" w:hint="eastAsia"/>
          <w:kern w:val="0"/>
          <w:sz w:val="28"/>
          <w:szCs w:val="28"/>
        </w:rPr>
      </w:pPr>
    </w:p>
    <w:p w:rsidR="00A46041" w:rsidRDefault="00A46041" w:rsidP="007D7229">
      <w:pPr>
        <w:rPr>
          <w:rFonts w:ascii="ˎ̥" w:hAnsi="ˎ̥" w:cs="宋体" w:hint="eastAsia"/>
          <w:kern w:val="0"/>
          <w:sz w:val="28"/>
          <w:szCs w:val="28"/>
        </w:rPr>
      </w:pPr>
    </w:p>
    <w:p w:rsidR="007D7229" w:rsidRDefault="007D7229" w:rsidP="007D7229">
      <w:pPr>
        <w:rPr>
          <w:rFonts w:ascii="ˎ̥" w:hAnsi="ˎ̥" w:cs="宋体" w:hint="eastAsia"/>
          <w:kern w:val="0"/>
          <w:sz w:val="28"/>
          <w:szCs w:val="28"/>
        </w:rPr>
      </w:pPr>
    </w:p>
    <w:p w:rsidR="007D7229" w:rsidRPr="009F280D" w:rsidRDefault="007D7229" w:rsidP="007D7229">
      <w:pPr>
        <w:jc w:val="center"/>
        <w:rPr>
          <w:rFonts w:ascii="ˎ̥" w:hAnsi="ˎ̥" w:cs="宋体" w:hint="eastAsia"/>
          <w:kern w:val="0"/>
          <w:sz w:val="28"/>
          <w:szCs w:val="28"/>
        </w:rPr>
      </w:pPr>
    </w:p>
    <w:sectPr w:rsidR="007D7229" w:rsidRPr="009F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D3"/>
    <w:rsid w:val="00194D03"/>
    <w:rsid w:val="001C0C71"/>
    <w:rsid w:val="004576F5"/>
    <w:rsid w:val="004E4B05"/>
    <w:rsid w:val="00597CEC"/>
    <w:rsid w:val="005C30F2"/>
    <w:rsid w:val="005F15A7"/>
    <w:rsid w:val="00650ABE"/>
    <w:rsid w:val="007B2402"/>
    <w:rsid w:val="007D2148"/>
    <w:rsid w:val="007D7229"/>
    <w:rsid w:val="00863682"/>
    <w:rsid w:val="00863793"/>
    <w:rsid w:val="00960B5F"/>
    <w:rsid w:val="00A46041"/>
    <w:rsid w:val="00D923D3"/>
    <w:rsid w:val="00D97957"/>
    <w:rsid w:val="00DC6713"/>
    <w:rsid w:val="00E729F3"/>
    <w:rsid w:val="00E74425"/>
    <w:rsid w:val="00EB7638"/>
    <w:rsid w:val="00F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D3"/>
    <w:pPr>
      <w:ind w:firstLineChars="200" w:firstLine="420"/>
    </w:pPr>
  </w:style>
  <w:style w:type="character" w:styleId="a4">
    <w:name w:val="Strong"/>
    <w:basedOn w:val="a0"/>
    <w:qFormat/>
    <w:rsid w:val="00194D03"/>
    <w:rPr>
      <w:b/>
      <w:bCs/>
    </w:rPr>
  </w:style>
  <w:style w:type="table" w:styleId="a5">
    <w:name w:val="Table Grid"/>
    <w:basedOn w:val="a1"/>
    <w:uiPriority w:val="59"/>
    <w:rsid w:val="00960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"/>
    <w:rsid w:val="00D9795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6"/>
    <w:rsid w:val="00D97957"/>
    <w:rPr>
      <w:rFonts w:ascii="Times New Roman" w:eastAsia="宋体" w:hAnsi="Times New Roman" w:cs="Times New Roman"/>
      <w:szCs w:val="24"/>
    </w:rPr>
  </w:style>
  <w:style w:type="paragraph" w:customStyle="1" w:styleId="xl24">
    <w:name w:val="xl24"/>
    <w:basedOn w:val="a"/>
    <w:rsid w:val="00D9795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D9795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黑体"/>
      <w:kern w:val="0"/>
      <w:sz w:val="22"/>
    </w:rPr>
  </w:style>
  <w:style w:type="paragraph" w:styleId="a7">
    <w:name w:val="Normal (Web)"/>
    <w:basedOn w:val="a"/>
    <w:uiPriority w:val="99"/>
    <w:unhideWhenUsed/>
    <w:rsid w:val="00EB763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D3"/>
    <w:pPr>
      <w:ind w:firstLineChars="200" w:firstLine="420"/>
    </w:pPr>
  </w:style>
  <w:style w:type="character" w:styleId="a4">
    <w:name w:val="Strong"/>
    <w:basedOn w:val="a0"/>
    <w:qFormat/>
    <w:rsid w:val="00194D03"/>
    <w:rPr>
      <w:b/>
      <w:bCs/>
    </w:rPr>
  </w:style>
  <w:style w:type="table" w:styleId="a5">
    <w:name w:val="Table Grid"/>
    <w:basedOn w:val="a1"/>
    <w:uiPriority w:val="59"/>
    <w:rsid w:val="00960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"/>
    <w:rsid w:val="00D9795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6"/>
    <w:rsid w:val="00D97957"/>
    <w:rPr>
      <w:rFonts w:ascii="Times New Roman" w:eastAsia="宋体" w:hAnsi="Times New Roman" w:cs="Times New Roman"/>
      <w:szCs w:val="24"/>
    </w:rPr>
  </w:style>
  <w:style w:type="paragraph" w:customStyle="1" w:styleId="xl24">
    <w:name w:val="xl24"/>
    <w:basedOn w:val="a"/>
    <w:rsid w:val="00D9795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D9795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黑体"/>
      <w:kern w:val="0"/>
      <w:sz w:val="22"/>
    </w:rPr>
  </w:style>
  <w:style w:type="paragraph" w:styleId="a7">
    <w:name w:val="Normal (Web)"/>
    <w:basedOn w:val="a"/>
    <w:uiPriority w:val="99"/>
    <w:unhideWhenUsed/>
    <w:rsid w:val="00EB763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334</Words>
  <Characters>1908</Characters>
  <Application>Microsoft Office Word</Application>
  <DocSecurity>0</DocSecurity>
  <Lines>15</Lines>
  <Paragraphs>4</Paragraphs>
  <ScaleCrop>false</ScaleCrop>
  <Company>dgut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祝慧</dc:creator>
  <cp:keywords/>
  <dc:description/>
  <cp:lastModifiedBy>祝慧</cp:lastModifiedBy>
  <cp:revision>14</cp:revision>
  <dcterms:created xsi:type="dcterms:W3CDTF">2017-05-08T07:33:00Z</dcterms:created>
  <dcterms:modified xsi:type="dcterms:W3CDTF">2017-05-10T03:23:00Z</dcterms:modified>
</cp:coreProperties>
</file>