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12" w:lineRule="auto"/>
        <w:ind w:right="-154" w:firstLine="0" w:firstLineChars="0"/>
        <w:rPr>
          <w:rFonts w:ascii="宋体" w:cs="Times New Roman"/>
          <w:b/>
          <w:bCs/>
          <w:kern w:val="0"/>
          <w:sz w:val="28"/>
          <w:szCs w:val="28"/>
        </w:rPr>
      </w:pPr>
      <w:r>
        <w:rPr>
          <w:rFonts w:hint="eastAsia" w:ascii="宋体" w:hAnsi="宋体" w:cs="宋体"/>
          <w:b/>
          <w:bCs/>
          <w:kern w:val="0"/>
          <w:sz w:val="28"/>
          <w:szCs w:val="28"/>
        </w:rPr>
        <w:t>附件</w:t>
      </w:r>
      <w:r>
        <w:rPr>
          <w:rFonts w:ascii="宋体" w:hAnsi="宋体" w:cs="宋体"/>
          <w:b/>
          <w:bCs/>
          <w:kern w:val="0"/>
          <w:sz w:val="28"/>
          <w:szCs w:val="28"/>
        </w:rPr>
        <w:t>5</w:t>
      </w:r>
      <w:r>
        <w:rPr>
          <w:rFonts w:hint="eastAsia" w:ascii="宋体" w:hAnsi="宋体" w:cs="宋体"/>
          <w:b/>
          <w:bCs/>
          <w:kern w:val="0"/>
          <w:sz w:val="28"/>
          <w:szCs w:val="28"/>
        </w:rPr>
        <w:t>：</w:t>
      </w:r>
    </w:p>
    <w:p>
      <w:pPr>
        <w:keepNext w:val="0"/>
        <w:keepLines w:val="0"/>
        <w:widowControl/>
        <w:suppressLineNumbers w:val="0"/>
        <w:wordWrap w:val="0"/>
        <w:adjustRightInd w:val="0"/>
        <w:snapToGrid w:val="0"/>
        <w:spacing w:before="0" w:beforeAutospacing="0" w:after="0" w:afterAutospacing="0" w:line="312" w:lineRule="auto"/>
        <w:ind w:left="0" w:right="0" w:firstLine="0" w:firstLineChars="0"/>
        <w:jc w:val="center"/>
        <w:rPr>
          <w:rFonts w:hint="eastAsia" w:ascii="方正小标宋简体" w:hAnsi="方正小标宋简体" w:eastAsia="方正小标宋简体" w:cs="方正小标宋简体"/>
          <w:b w:val="0"/>
          <w:kern w:val="0"/>
          <w:sz w:val="32"/>
          <w:szCs w:val="32"/>
          <w:u w:val="none"/>
          <w:lang w:val="en-US" w:eastAsia="zh-CN" w:bidi="ar"/>
        </w:rPr>
      </w:pPr>
      <w:r>
        <w:rPr>
          <w:rFonts w:hint="eastAsia" w:ascii="方正小标宋简体" w:hAnsi="方正小标宋简体" w:eastAsia="方正小标宋简体" w:cs="方正小标宋简体"/>
          <w:b w:val="0"/>
          <w:kern w:val="0"/>
          <w:sz w:val="32"/>
          <w:szCs w:val="32"/>
          <w:u w:val="none"/>
          <w:lang w:val="en-US" w:eastAsia="zh-CN" w:bidi="ar"/>
        </w:rPr>
        <w:t>关于修订2016级本科专业人才培养方案的一些说明</w:t>
      </w:r>
    </w:p>
    <w:p>
      <w:pPr>
        <w:widowControl/>
        <w:adjustRightInd w:val="0"/>
        <w:snapToGrid w:val="0"/>
        <w:spacing w:line="312" w:lineRule="auto"/>
        <w:ind w:right="-154" w:firstLine="0" w:firstLineChars="0"/>
        <w:jc w:val="left"/>
        <w:rPr>
          <w:rFonts w:ascii="宋体" w:cs="Times New Roman"/>
          <w:kern w:val="0"/>
          <w:sz w:val="28"/>
          <w:szCs w:val="28"/>
        </w:rPr>
      </w:pPr>
    </w:p>
    <w:p>
      <w:pPr>
        <w:widowControl/>
        <w:adjustRightInd w:val="0"/>
        <w:snapToGrid w:val="0"/>
        <w:spacing w:line="312" w:lineRule="auto"/>
        <w:ind w:right="-154" w:firstLine="0" w:firstLineChars="0"/>
        <w:jc w:val="left"/>
        <w:rPr>
          <w:rFonts w:ascii="黑体" w:hAnsi="宋体" w:eastAsia="黑体" w:cs="Times New Roman"/>
          <w:b/>
          <w:bCs/>
          <w:kern w:val="0"/>
          <w:sz w:val="28"/>
          <w:szCs w:val="28"/>
        </w:rPr>
      </w:pPr>
      <w:r>
        <w:rPr>
          <w:rFonts w:hint="eastAsia" w:ascii="黑体" w:hAnsi="宋体" w:eastAsia="黑体" w:cs="黑体"/>
          <w:b/>
          <w:bCs/>
          <w:kern w:val="0"/>
          <w:sz w:val="28"/>
          <w:szCs w:val="28"/>
        </w:rPr>
        <w:t>一、修订要求</w:t>
      </w:r>
    </w:p>
    <w:p>
      <w:pPr>
        <w:widowControl/>
        <w:adjustRightInd w:val="0"/>
        <w:snapToGrid w:val="0"/>
        <w:spacing w:line="312" w:lineRule="auto"/>
        <w:ind w:right="-154" w:firstLine="560"/>
        <w:jc w:val="left"/>
        <w:rPr>
          <w:rFonts w:ascii="宋体" w:cs="Times New Roman"/>
          <w:kern w:val="0"/>
          <w:sz w:val="28"/>
          <w:szCs w:val="28"/>
        </w:rPr>
      </w:pPr>
      <w:r>
        <w:rPr>
          <w:rFonts w:ascii="宋体" w:hAnsi="宋体" w:cs="宋体"/>
          <w:kern w:val="0"/>
          <w:sz w:val="28"/>
          <w:szCs w:val="28"/>
        </w:rPr>
        <w:t>1</w:t>
      </w:r>
      <w:r>
        <w:rPr>
          <w:rFonts w:hint="eastAsia" w:ascii="宋体" w:hAnsi="宋体" w:cs="宋体"/>
          <w:kern w:val="0"/>
          <w:sz w:val="28"/>
          <w:szCs w:val="28"/>
        </w:rPr>
        <w:t>、各专业修订人才培养方案的基本程序应该是：调研（包括对标调研、企业行业调研和毕业生调研等）</w:t>
      </w:r>
      <w:r>
        <w:rPr>
          <w:rFonts w:ascii="宋体" w:cs="宋体"/>
          <w:kern w:val="0"/>
          <w:sz w:val="28"/>
          <w:szCs w:val="28"/>
        </w:rPr>
        <w:t>-----</w:t>
      </w:r>
      <w:r>
        <w:rPr>
          <w:rFonts w:hint="eastAsia" w:ascii="宋体" w:hAnsi="宋体" w:cs="宋体"/>
          <w:kern w:val="0"/>
          <w:sz w:val="28"/>
          <w:szCs w:val="28"/>
        </w:rPr>
        <w:t>形成自查报告</w:t>
      </w:r>
      <w:r>
        <w:rPr>
          <w:rFonts w:ascii="宋体" w:cs="宋体"/>
          <w:kern w:val="0"/>
          <w:sz w:val="28"/>
          <w:szCs w:val="28"/>
        </w:rPr>
        <w:t>-----</w:t>
      </w:r>
      <w:r>
        <w:rPr>
          <w:rFonts w:hint="eastAsia" w:ascii="宋体" w:hAnsi="宋体" w:cs="宋体"/>
          <w:kern w:val="0"/>
          <w:sz w:val="28"/>
          <w:szCs w:val="28"/>
        </w:rPr>
        <w:t>全体专业教师研讨会（讨论培养目标、毕业要求、课程体系构成等）</w:t>
      </w:r>
      <w:r>
        <w:rPr>
          <w:rFonts w:ascii="宋体" w:cs="宋体"/>
          <w:kern w:val="0"/>
          <w:sz w:val="28"/>
          <w:szCs w:val="28"/>
        </w:rPr>
        <w:t>-----</w:t>
      </w:r>
      <w:r>
        <w:rPr>
          <w:rFonts w:hint="eastAsia" w:ascii="宋体" w:hAnsi="宋体" w:cs="宋体"/>
          <w:kern w:val="0"/>
          <w:sz w:val="28"/>
          <w:szCs w:val="28"/>
        </w:rPr>
        <w:t>修订新的人才培养方案</w:t>
      </w:r>
      <w:r>
        <w:rPr>
          <w:rFonts w:ascii="宋体" w:cs="宋体"/>
          <w:kern w:val="0"/>
          <w:sz w:val="28"/>
          <w:szCs w:val="28"/>
        </w:rPr>
        <w:t>-----</w:t>
      </w:r>
      <w:r>
        <w:rPr>
          <w:rFonts w:hint="eastAsia" w:ascii="宋体" w:hAnsi="宋体" w:cs="宋体"/>
          <w:kern w:val="0"/>
          <w:sz w:val="28"/>
          <w:szCs w:val="28"/>
        </w:rPr>
        <w:t>专业建设指导委员会审核</w:t>
      </w:r>
      <w:r>
        <w:rPr>
          <w:rFonts w:ascii="宋体" w:cs="宋体"/>
          <w:kern w:val="0"/>
          <w:sz w:val="28"/>
          <w:szCs w:val="28"/>
        </w:rPr>
        <w:t>-----</w:t>
      </w:r>
      <w:r>
        <w:rPr>
          <w:rFonts w:hint="eastAsia" w:ascii="宋体" w:hAnsi="宋体" w:cs="宋体"/>
          <w:kern w:val="0"/>
          <w:sz w:val="28"/>
          <w:szCs w:val="28"/>
        </w:rPr>
        <w:t>网上填报培养方案</w:t>
      </w:r>
      <w:r>
        <w:rPr>
          <w:rFonts w:ascii="宋体" w:cs="宋体"/>
          <w:kern w:val="0"/>
          <w:sz w:val="28"/>
          <w:szCs w:val="28"/>
        </w:rPr>
        <w:t>-----</w:t>
      </w:r>
      <w:r>
        <w:rPr>
          <w:rFonts w:hint="eastAsia" w:ascii="宋体" w:hAnsi="宋体" w:cs="宋体"/>
          <w:kern w:val="0"/>
          <w:sz w:val="28"/>
          <w:szCs w:val="28"/>
        </w:rPr>
        <w:t>将纸质版经学院负责人签字盖章后提交教务处。</w:t>
      </w:r>
    </w:p>
    <w:p>
      <w:pPr>
        <w:widowControl/>
        <w:adjustRightInd w:val="0"/>
        <w:snapToGrid w:val="0"/>
        <w:spacing w:line="312" w:lineRule="auto"/>
        <w:ind w:right="-154" w:firstLine="560"/>
        <w:jc w:val="left"/>
        <w:rPr>
          <w:rFonts w:ascii="宋体" w:cs="Times New Roman"/>
          <w:kern w:val="0"/>
          <w:sz w:val="28"/>
          <w:szCs w:val="28"/>
        </w:rPr>
      </w:pPr>
      <w:r>
        <w:rPr>
          <w:rFonts w:hint="eastAsia" w:ascii="宋体" w:cs="宋体"/>
          <w:kern w:val="0"/>
          <w:sz w:val="28"/>
          <w:szCs w:val="28"/>
        </w:rPr>
        <w:t>2、本次修订要求各专业的学分和学时和原方案相比有明显的缩减效果，总学分不超过</w:t>
      </w:r>
      <w:r>
        <w:rPr>
          <w:rFonts w:ascii="宋体" w:cs="宋体"/>
          <w:kern w:val="0"/>
          <w:sz w:val="28"/>
          <w:szCs w:val="28"/>
        </w:rPr>
        <w:t>150</w:t>
      </w:r>
      <w:r>
        <w:rPr>
          <w:rFonts w:hint="eastAsia" w:ascii="宋体" w:cs="宋体"/>
          <w:kern w:val="0"/>
          <w:sz w:val="28"/>
          <w:szCs w:val="28"/>
        </w:rPr>
        <w:t>，理论教学总学时不超过</w:t>
      </w:r>
      <w:r>
        <w:rPr>
          <w:rFonts w:ascii="宋体" w:cs="宋体"/>
          <w:kern w:val="0"/>
          <w:sz w:val="28"/>
          <w:szCs w:val="28"/>
        </w:rPr>
        <w:t>2100</w:t>
      </w:r>
      <w:r>
        <w:rPr>
          <w:rFonts w:hint="eastAsia" w:ascii="宋体" w:cs="宋体"/>
          <w:kern w:val="0"/>
          <w:sz w:val="28"/>
          <w:szCs w:val="28"/>
        </w:rPr>
        <w:t>。将原来的一</w:t>
      </w:r>
      <w:r>
        <w:rPr>
          <w:rFonts w:hint="eastAsia" w:ascii="宋体" w:hAnsi="宋体" w:cs="宋体"/>
          <w:kern w:val="0"/>
          <w:sz w:val="28"/>
          <w:szCs w:val="28"/>
        </w:rPr>
        <w:t>学分</w:t>
      </w:r>
      <w:r>
        <w:rPr>
          <w:rFonts w:ascii="宋体" w:hAnsi="宋体" w:cs="宋体"/>
          <w:kern w:val="0"/>
          <w:sz w:val="28"/>
          <w:szCs w:val="28"/>
        </w:rPr>
        <w:t>16</w:t>
      </w:r>
      <w:r>
        <w:rPr>
          <w:rFonts w:hint="eastAsia" w:ascii="宋体" w:hAnsi="宋体" w:cs="宋体"/>
          <w:kern w:val="0"/>
          <w:sz w:val="28"/>
          <w:szCs w:val="28"/>
        </w:rPr>
        <w:t>学时统一改换成一学分</w:t>
      </w:r>
      <w:r>
        <w:rPr>
          <w:rFonts w:ascii="宋体" w:hAnsi="宋体" w:cs="宋体"/>
          <w:kern w:val="0"/>
          <w:sz w:val="28"/>
          <w:szCs w:val="28"/>
        </w:rPr>
        <w:t>18</w:t>
      </w:r>
      <w:r>
        <w:rPr>
          <w:rFonts w:hint="eastAsia" w:ascii="宋体" w:hAnsi="宋体" w:cs="宋体"/>
          <w:kern w:val="0"/>
          <w:sz w:val="28"/>
          <w:szCs w:val="28"/>
        </w:rPr>
        <w:t>学时，课程体系中要注意课程学分和学时之间对应关系的准确性。</w:t>
      </w:r>
    </w:p>
    <w:p>
      <w:pPr>
        <w:widowControl/>
        <w:adjustRightInd w:val="0"/>
        <w:snapToGrid w:val="0"/>
        <w:spacing w:line="312" w:lineRule="auto"/>
        <w:ind w:right="-154" w:firstLine="560"/>
        <w:jc w:val="left"/>
        <w:rPr>
          <w:rFonts w:ascii="宋体" w:cs="Times New Roman"/>
          <w:kern w:val="0"/>
          <w:sz w:val="28"/>
          <w:szCs w:val="28"/>
        </w:rPr>
      </w:pPr>
      <w:r>
        <w:rPr>
          <w:rFonts w:hint="eastAsia" w:ascii="宋体" w:hAnsi="宋体" w:cs="宋体"/>
          <w:kern w:val="0"/>
          <w:sz w:val="28"/>
          <w:szCs w:val="28"/>
        </w:rPr>
        <w:t>3、理工类专业的人才培养方案修订务必严格遵循工程认证标准的要求，具体参照《工程教育认证工作指南（</w:t>
      </w:r>
      <w:r>
        <w:rPr>
          <w:rFonts w:ascii="宋体" w:hAnsi="宋体" w:cs="宋体"/>
          <w:kern w:val="0"/>
          <w:sz w:val="28"/>
          <w:szCs w:val="28"/>
        </w:rPr>
        <w:t>2016</w:t>
      </w:r>
      <w:r>
        <w:rPr>
          <w:rFonts w:hint="eastAsia" w:ascii="宋体" w:hAnsi="宋体" w:cs="宋体"/>
          <w:kern w:val="0"/>
          <w:sz w:val="28"/>
          <w:szCs w:val="28"/>
        </w:rPr>
        <w:t>版）》中的通用标准和专业标准。其他专业的培养方案修订中也应尽量引入相关的国内外专业认证标准或行业标准。</w:t>
      </w:r>
    </w:p>
    <w:p>
      <w:pPr>
        <w:widowControl/>
        <w:adjustRightInd w:val="0"/>
        <w:snapToGrid w:val="0"/>
        <w:spacing w:line="312" w:lineRule="auto"/>
        <w:ind w:right="-154" w:firstLine="560"/>
        <w:jc w:val="left"/>
        <w:rPr>
          <w:rFonts w:ascii="宋体" w:cs="Times New Roman"/>
          <w:kern w:val="0"/>
          <w:sz w:val="28"/>
          <w:szCs w:val="28"/>
        </w:rPr>
      </w:pPr>
    </w:p>
    <w:p>
      <w:pPr>
        <w:widowControl/>
        <w:adjustRightInd w:val="0"/>
        <w:snapToGrid w:val="0"/>
        <w:spacing w:line="312" w:lineRule="auto"/>
        <w:ind w:right="-154" w:firstLine="0" w:firstLineChars="0"/>
        <w:jc w:val="left"/>
        <w:rPr>
          <w:rFonts w:ascii="黑体" w:hAnsi="宋体" w:eastAsia="黑体" w:cs="Times New Roman"/>
          <w:b/>
          <w:bCs/>
          <w:kern w:val="0"/>
          <w:sz w:val="28"/>
          <w:szCs w:val="28"/>
        </w:rPr>
      </w:pPr>
      <w:r>
        <w:rPr>
          <w:rFonts w:hint="eastAsia" w:ascii="黑体" w:hAnsi="宋体" w:eastAsia="黑体" w:cs="黑体"/>
          <w:b/>
          <w:bCs/>
          <w:kern w:val="0"/>
          <w:sz w:val="28"/>
          <w:szCs w:val="28"/>
        </w:rPr>
        <w:t>二、课程类别的定义</w:t>
      </w:r>
    </w:p>
    <w:tbl>
      <w:tblPr>
        <w:tblStyle w:val="6"/>
        <w:tblW w:w="8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2278"/>
        <w:gridCol w:w="969"/>
        <w:gridCol w:w="1013"/>
        <w:gridCol w:w="1157"/>
        <w:gridCol w:w="1075"/>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3260" w:type="dxa"/>
            <w:gridSpan w:val="2"/>
            <w:vAlign w:val="center"/>
          </w:tcPr>
          <w:p>
            <w:pPr>
              <w:ind w:right="-154" w:firstLine="480"/>
              <w:jc w:val="center"/>
              <w:rPr>
                <w:rFonts w:hAnsi="宋体" w:cs="Times New Roman"/>
                <w:sz w:val="24"/>
                <w:szCs w:val="24"/>
              </w:rPr>
            </w:pPr>
            <w:r>
              <w:rPr>
                <w:rFonts w:hint="eastAsia" w:hAnsi="宋体" w:cs="宋体"/>
                <w:sz w:val="24"/>
                <w:szCs w:val="24"/>
              </w:rPr>
              <w:t>课</w:t>
            </w:r>
            <w:r>
              <w:rPr>
                <w:rFonts w:hAnsi="宋体"/>
                <w:sz w:val="24"/>
                <w:szCs w:val="24"/>
              </w:rPr>
              <w:t xml:space="preserve"> </w:t>
            </w:r>
            <w:r>
              <w:rPr>
                <w:rFonts w:hint="eastAsia" w:hAnsi="宋体" w:cs="宋体"/>
                <w:sz w:val="24"/>
                <w:szCs w:val="24"/>
              </w:rPr>
              <w:t>程</w:t>
            </w:r>
            <w:r>
              <w:rPr>
                <w:rFonts w:hAnsi="宋体"/>
                <w:sz w:val="24"/>
                <w:szCs w:val="24"/>
              </w:rPr>
              <w:t xml:space="preserve"> </w:t>
            </w:r>
            <w:r>
              <w:rPr>
                <w:rFonts w:hint="eastAsia" w:hAnsi="宋体" w:cs="宋体"/>
                <w:sz w:val="24"/>
                <w:szCs w:val="24"/>
              </w:rPr>
              <w:t>类</w:t>
            </w:r>
            <w:r>
              <w:rPr>
                <w:rFonts w:hAnsi="宋体"/>
                <w:sz w:val="24"/>
                <w:szCs w:val="24"/>
              </w:rPr>
              <w:t xml:space="preserve"> </w:t>
            </w:r>
            <w:r>
              <w:rPr>
                <w:rFonts w:hint="eastAsia" w:hAnsi="宋体" w:cs="宋体"/>
                <w:sz w:val="24"/>
                <w:szCs w:val="24"/>
              </w:rPr>
              <w:t>别</w:t>
            </w:r>
          </w:p>
        </w:tc>
        <w:tc>
          <w:tcPr>
            <w:tcW w:w="969" w:type="dxa"/>
            <w:vAlign w:val="center"/>
          </w:tcPr>
          <w:p>
            <w:pPr>
              <w:ind w:right="-154" w:firstLine="0" w:firstLineChars="0"/>
              <w:jc w:val="center"/>
              <w:rPr>
                <w:rFonts w:hAnsi="宋体" w:cs="Times New Roman"/>
                <w:sz w:val="24"/>
                <w:szCs w:val="24"/>
              </w:rPr>
            </w:pPr>
            <w:r>
              <w:rPr>
                <w:rFonts w:hint="eastAsia" w:hAnsi="宋体" w:cs="宋体"/>
                <w:sz w:val="24"/>
                <w:szCs w:val="24"/>
              </w:rPr>
              <w:t>学分</w:t>
            </w:r>
          </w:p>
        </w:tc>
        <w:tc>
          <w:tcPr>
            <w:tcW w:w="1013" w:type="dxa"/>
            <w:vAlign w:val="center"/>
          </w:tcPr>
          <w:p>
            <w:pPr>
              <w:ind w:right="-154" w:firstLine="480"/>
              <w:jc w:val="center"/>
              <w:rPr>
                <w:rFonts w:hAnsi="宋体" w:cs="Times New Roman"/>
                <w:sz w:val="24"/>
                <w:szCs w:val="24"/>
              </w:rPr>
            </w:pPr>
            <w:r>
              <w:rPr>
                <w:rFonts w:hAnsi="宋体"/>
                <w:sz w:val="24"/>
                <w:szCs w:val="24"/>
              </w:rPr>
              <w:t>%</w:t>
            </w:r>
          </w:p>
        </w:tc>
        <w:tc>
          <w:tcPr>
            <w:tcW w:w="1157" w:type="dxa"/>
            <w:vAlign w:val="center"/>
          </w:tcPr>
          <w:p>
            <w:pPr>
              <w:ind w:right="-154" w:firstLine="480"/>
              <w:jc w:val="center"/>
              <w:rPr>
                <w:rFonts w:hAnsi="宋体" w:cs="Times New Roman"/>
                <w:sz w:val="24"/>
                <w:szCs w:val="24"/>
              </w:rPr>
            </w:pPr>
            <w:r>
              <w:rPr>
                <w:rFonts w:hint="eastAsia" w:hAnsi="宋体" w:cs="宋体"/>
                <w:sz w:val="24"/>
                <w:szCs w:val="24"/>
              </w:rPr>
              <w:t>学时</w:t>
            </w:r>
          </w:p>
        </w:tc>
        <w:tc>
          <w:tcPr>
            <w:tcW w:w="1075" w:type="dxa"/>
            <w:vAlign w:val="center"/>
          </w:tcPr>
          <w:p>
            <w:pPr>
              <w:ind w:right="-154" w:firstLine="480"/>
              <w:jc w:val="center"/>
              <w:rPr>
                <w:rFonts w:hAnsi="宋体" w:cs="Times New Roman"/>
                <w:sz w:val="24"/>
                <w:szCs w:val="24"/>
              </w:rPr>
            </w:pPr>
            <w:r>
              <w:rPr>
                <w:rFonts w:hAnsi="宋体"/>
                <w:sz w:val="24"/>
                <w:szCs w:val="24"/>
              </w:rPr>
              <w:t>%</w:t>
            </w:r>
          </w:p>
        </w:tc>
        <w:tc>
          <w:tcPr>
            <w:tcW w:w="1506" w:type="dxa"/>
            <w:vAlign w:val="center"/>
          </w:tcPr>
          <w:p>
            <w:pPr>
              <w:ind w:right="-154" w:firstLine="199" w:firstLineChars="83"/>
              <w:rPr>
                <w:rFonts w:hAnsi="宋体" w:cs="Times New Roman"/>
                <w:sz w:val="24"/>
                <w:szCs w:val="24"/>
              </w:rPr>
            </w:pPr>
            <w:r>
              <w:rPr>
                <w:rFonts w:hint="eastAsia" w:hAnsi="宋体" w:cs="宋体"/>
                <w:sz w:val="24"/>
                <w:szCs w:val="24"/>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3260" w:type="dxa"/>
            <w:gridSpan w:val="2"/>
            <w:vAlign w:val="center"/>
          </w:tcPr>
          <w:p>
            <w:pPr>
              <w:ind w:right="-154" w:firstLine="720" w:firstLineChars="300"/>
              <w:rPr>
                <w:rFonts w:hAnsi="宋体" w:cs="Times New Roman"/>
                <w:sz w:val="24"/>
                <w:szCs w:val="24"/>
              </w:rPr>
            </w:pPr>
            <w:r>
              <w:rPr>
                <w:rFonts w:hint="eastAsia" w:hAnsi="宋体" w:cs="宋体"/>
                <w:sz w:val="24"/>
                <w:szCs w:val="24"/>
              </w:rPr>
              <w:t>通识教育必修课</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restart"/>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3260" w:type="dxa"/>
            <w:gridSpan w:val="2"/>
            <w:vAlign w:val="center"/>
          </w:tcPr>
          <w:p>
            <w:pPr>
              <w:ind w:right="-154" w:firstLine="720" w:firstLineChars="300"/>
              <w:rPr>
                <w:rFonts w:hAnsi="宋体" w:cs="Times New Roman"/>
                <w:sz w:val="24"/>
                <w:szCs w:val="24"/>
              </w:rPr>
            </w:pPr>
            <w:r>
              <w:rPr>
                <w:rFonts w:hint="eastAsia" w:hAnsi="宋体" w:cs="宋体"/>
                <w:sz w:val="24"/>
                <w:szCs w:val="24"/>
              </w:rPr>
              <w:t>通识教育选修课</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continue"/>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restart"/>
            <w:vAlign w:val="center"/>
          </w:tcPr>
          <w:p>
            <w:pPr>
              <w:ind w:right="-154" w:firstLine="480"/>
              <w:jc w:val="center"/>
              <w:rPr>
                <w:rFonts w:hAnsi="宋体" w:cs="Times New Roman"/>
                <w:sz w:val="24"/>
                <w:szCs w:val="24"/>
              </w:rPr>
            </w:pPr>
            <w:r>
              <w:rPr>
                <w:rFonts w:hint="eastAsia" w:hAnsi="宋体" w:cs="宋体"/>
                <w:sz w:val="24"/>
                <w:szCs w:val="24"/>
              </w:rPr>
              <w:t>专业类课程</w:t>
            </w:r>
          </w:p>
        </w:tc>
        <w:tc>
          <w:tcPr>
            <w:tcW w:w="2278" w:type="dxa"/>
            <w:vAlign w:val="center"/>
          </w:tcPr>
          <w:p>
            <w:pPr>
              <w:ind w:right="-154" w:firstLine="240" w:firstLineChars="100"/>
              <w:jc w:val="center"/>
              <w:rPr>
                <w:rFonts w:hAnsi="宋体" w:cs="Times New Roman"/>
                <w:sz w:val="24"/>
                <w:szCs w:val="24"/>
              </w:rPr>
            </w:pPr>
            <w:r>
              <w:rPr>
                <w:rFonts w:hint="eastAsia" w:hAnsi="宋体" w:cs="宋体"/>
                <w:sz w:val="24"/>
                <w:szCs w:val="24"/>
              </w:rPr>
              <w:t>学科基础课</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restart"/>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continue"/>
            <w:vAlign w:val="center"/>
          </w:tcPr>
          <w:p>
            <w:pPr>
              <w:ind w:right="-154" w:firstLine="480"/>
              <w:jc w:val="center"/>
              <w:rPr>
                <w:rFonts w:hAnsi="宋体" w:cs="Times New Roman"/>
                <w:sz w:val="24"/>
                <w:szCs w:val="24"/>
              </w:rPr>
            </w:pPr>
          </w:p>
        </w:tc>
        <w:tc>
          <w:tcPr>
            <w:tcW w:w="2278" w:type="dxa"/>
            <w:vAlign w:val="center"/>
          </w:tcPr>
          <w:p>
            <w:pPr>
              <w:ind w:right="-154" w:firstLine="240" w:firstLineChars="100"/>
              <w:jc w:val="center"/>
              <w:rPr>
                <w:rFonts w:hAnsi="宋体" w:cs="Times New Roman"/>
                <w:sz w:val="24"/>
                <w:szCs w:val="24"/>
              </w:rPr>
            </w:pPr>
            <w:r>
              <w:rPr>
                <w:rFonts w:hint="eastAsia" w:hAnsi="宋体" w:cs="宋体"/>
                <w:sz w:val="24"/>
                <w:szCs w:val="24"/>
              </w:rPr>
              <w:t>专业必修课</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continue"/>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continue"/>
            <w:vAlign w:val="center"/>
          </w:tcPr>
          <w:p>
            <w:pPr>
              <w:ind w:right="-154" w:firstLine="480"/>
              <w:jc w:val="center"/>
              <w:rPr>
                <w:rFonts w:hAnsi="宋体" w:cs="Times New Roman"/>
                <w:sz w:val="24"/>
                <w:szCs w:val="24"/>
              </w:rPr>
            </w:pPr>
          </w:p>
        </w:tc>
        <w:tc>
          <w:tcPr>
            <w:tcW w:w="2278" w:type="dxa"/>
            <w:vAlign w:val="center"/>
          </w:tcPr>
          <w:p>
            <w:pPr>
              <w:ind w:right="-154" w:firstLine="240" w:firstLineChars="100"/>
              <w:jc w:val="center"/>
              <w:rPr>
                <w:rFonts w:hAnsi="宋体" w:cs="Times New Roman"/>
                <w:sz w:val="24"/>
                <w:szCs w:val="24"/>
              </w:rPr>
            </w:pPr>
            <w:r>
              <w:rPr>
                <w:rFonts w:hint="eastAsia" w:hAnsi="宋体" w:cs="宋体"/>
                <w:sz w:val="24"/>
                <w:szCs w:val="24"/>
              </w:rPr>
              <w:t>专业方向课</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continue"/>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continue"/>
            <w:vAlign w:val="center"/>
          </w:tcPr>
          <w:p>
            <w:pPr>
              <w:ind w:right="-154" w:firstLine="480"/>
              <w:jc w:val="center"/>
              <w:rPr>
                <w:rFonts w:hAnsi="宋体" w:cs="Times New Roman"/>
                <w:sz w:val="24"/>
                <w:szCs w:val="24"/>
              </w:rPr>
            </w:pPr>
          </w:p>
        </w:tc>
        <w:tc>
          <w:tcPr>
            <w:tcW w:w="2278" w:type="dxa"/>
            <w:vAlign w:val="center"/>
          </w:tcPr>
          <w:p>
            <w:pPr>
              <w:ind w:right="-154" w:firstLine="240" w:firstLineChars="100"/>
              <w:jc w:val="center"/>
              <w:rPr>
                <w:rFonts w:hAnsi="宋体" w:cs="Times New Roman"/>
                <w:sz w:val="24"/>
                <w:szCs w:val="24"/>
              </w:rPr>
            </w:pPr>
            <w:r>
              <w:rPr>
                <w:rFonts w:hint="eastAsia" w:hAnsi="宋体" w:cs="宋体"/>
                <w:sz w:val="24"/>
                <w:szCs w:val="24"/>
              </w:rPr>
              <w:t>专业选修课</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continue"/>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restart"/>
            <w:vAlign w:val="center"/>
          </w:tcPr>
          <w:p>
            <w:pPr>
              <w:ind w:right="-154" w:firstLine="480"/>
              <w:jc w:val="center"/>
              <w:rPr>
                <w:rFonts w:hAnsi="宋体" w:cs="Times New Roman"/>
                <w:sz w:val="24"/>
                <w:szCs w:val="24"/>
              </w:rPr>
            </w:pPr>
            <w:r>
              <w:rPr>
                <w:rFonts w:hint="eastAsia" w:hAnsi="宋体" w:cs="宋体"/>
                <w:sz w:val="24"/>
                <w:szCs w:val="24"/>
              </w:rPr>
              <w:t>实践教学环节</w:t>
            </w:r>
          </w:p>
        </w:tc>
        <w:tc>
          <w:tcPr>
            <w:tcW w:w="2278" w:type="dxa"/>
            <w:vAlign w:val="center"/>
          </w:tcPr>
          <w:p>
            <w:pPr>
              <w:ind w:right="-154" w:firstLine="480"/>
              <w:jc w:val="center"/>
              <w:rPr>
                <w:rFonts w:hAnsi="宋体" w:cs="Times New Roman"/>
                <w:sz w:val="24"/>
                <w:szCs w:val="24"/>
              </w:rPr>
            </w:pPr>
            <w:r>
              <w:rPr>
                <w:rFonts w:hint="eastAsia" w:hAnsi="宋体" w:cs="宋体"/>
                <w:sz w:val="24"/>
                <w:szCs w:val="24"/>
              </w:rPr>
              <w:t>项目类课程</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restart"/>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continue"/>
            <w:vAlign w:val="center"/>
          </w:tcPr>
          <w:p>
            <w:pPr>
              <w:ind w:right="-154" w:firstLine="480"/>
              <w:jc w:val="center"/>
              <w:rPr>
                <w:rFonts w:hAnsi="宋体" w:cs="Times New Roman"/>
                <w:sz w:val="24"/>
                <w:szCs w:val="24"/>
              </w:rPr>
            </w:pPr>
          </w:p>
        </w:tc>
        <w:tc>
          <w:tcPr>
            <w:tcW w:w="2278" w:type="dxa"/>
            <w:vAlign w:val="center"/>
          </w:tcPr>
          <w:p>
            <w:pPr>
              <w:ind w:right="-154" w:firstLine="480"/>
              <w:jc w:val="center"/>
              <w:rPr>
                <w:rFonts w:hAnsi="宋体" w:cs="Times New Roman"/>
                <w:sz w:val="24"/>
                <w:szCs w:val="24"/>
              </w:rPr>
            </w:pPr>
            <w:r>
              <w:rPr>
                <w:rFonts w:hint="eastAsia" w:hAnsi="宋体" w:cs="宋体"/>
                <w:sz w:val="24"/>
                <w:szCs w:val="24"/>
              </w:rPr>
              <w:t>方法技能课程</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continue"/>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continue"/>
            <w:vAlign w:val="center"/>
          </w:tcPr>
          <w:p>
            <w:pPr>
              <w:ind w:right="-154" w:firstLine="480"/>
              <w:jc w:val="center"/>
              <w:rPr>
                <w:rFonts w:hAnsi="宋体" w:cs="Times New Roman"/>
                <w:sz w:val="24"/>
                <w:szCs w:val="24"/>
              </w:rPr>
            </w:pPr>
          </w:p>
        </w:tc>
        <w:tc>
          <w:tcPr>
            <w:tcW w:w="2278" w:type="dxa"/>
            <w:vAlign w:val="center"/>
          </w:tcPr>
          <w:p>
            <w:pPr>
              <w:ind w:right="-154" w:firstLine="480"/>
              <w:jc w:val="center"/>
              <w:rPr>
                <w:rFonts w:hAnsi="宋体" w:cs="Times New Roman"/>
                <w:sz w:val="24"/>
                <w:szCs w:val="24"/>
              </w:rPr>
            </w:pPr>
            <w:r>
              <w:rPr>
                <w:rFonts w:hint="eastAsia" w:hAnsi="宋体" w:cs="宋体"/>
                <w:sz w:val="24"/>
                <w:szCs w:val="24"/>
              </w:rPr>
              <w:t>实习</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continue"/>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Merge w:val="continue"/>
            <w:vAlign w:val="center"/>
          </w:tcPr>
          <w:p>
            <w:pPr>
              <w:ind w:right="-154" w:firstLine="480"/>
              <w:jc w:val="center"/>
              <w:rPr>
                <w:rFonts w:hAnsi="宋体" w:cs="Times New Roman"/>
                <w:sz w:val="24"/>
                <w:szCs w:val="24"/>
              </w:rPr>
            </w:pPr>
          </w:p>
        </w:tc>
        <w:tc>
          <w:tcPr>
            <w:tcW w:w="2278" w:type="dxa"/>
            <w:vAlign w:val="center"/>
          </w:tcPr>
          <w:p>
            <w:pPr>
              <w:ind w:right="-154" w:firstLine="199" w:firstLineChars="83"/>
              <w:rPr>
                <w:rFonts w:hAnsi="宋体" w:cs="Times New Roman"/>
                <w:sz w:val="24"/>
                <w:szCs w:val="24"/>
              </w:rPr>
            </w:pPr>
            <w:r>
              <w:rPr>
                <w:rFonts w:hint="eastAsia" w:hAnsi="宋体" w:cs="宋体"/>
                <w:sz w:val="24"/>
                <w:szCs w:val="24"/>
              </w:rPr>
              <w:t>毕业设计（论文）</w:t>
            </w: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Merge w:val="continue"/>
            <w:vAlign w:val="center"/>
          </w:tcPr>
          <w:p>
            <w:pPr>
              <w:ind w:right="-154" w:firstLine="480"/>
              <w:jc w:val="center"/>
              <w:rPr>
                <w:rFonts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982" w:type="dxa"/>
            <w:vAlign w:val="center"/>
          </w:tcPr>
          <w:p>
            <w:pPr>
              <w:ind w:right="-154" w:firstLine="0" w:firstLineChars="0"/>
              <w:rPr>
                <w:rFonts w:hAnsi="宋体" w:cs="Times New Roman"/>
                <w:sz w:val="24"/>
                <w:szCs w:val="24"/>
              </w:rPr>
            </w:pPr>
            <w:r>
              <w:rPr>
                <w:rFonts w:hint="eastAsia" w:hAnsi="宋体" w:cs="宋体"/>
                <w:sz w:val="24"/>
                <w:szCs w:val="24"/>
              </w:rPr>
              <w:t>合计</w:t>
            </w:r>
          </w:p>
        </w:tc>
        <w:tc>
          <w:tcPr>
            <w:tcW w:w="2278" w:type="dxa"/>
            <w:vAlign w:val="center"/>
          </w:tcPr>
          <w:p>
            <w:pPr>
              <w:ind w:right="-154" w:firstLine="480"/>
              <w:jc w:val="center"/>
              <w:rPr>
                <w:rFonts w:hAnsi="宋体" w:cs="Times New Roman"/>
                <w:sz w:val="24"/>
                <w:szCs w:val="24"/>
              </w:rPr>
            </w:pPr>
          </w:p>
        </w:tc>
        <w:tc>
          <w:tcPr>
            <w:tcW w:w="969" w:type="dxa"/>
            <w:vAlign w:val="center"/>
          </w:tcPr>
          <w:p>
            <w:pPr>
              <w:ind w:right="-154" w:firstLine="480"/>
              <w:jc w:val="center"/>
              <w:rPr>
                <w:rFonts w:hAnsi="宋体" w:cs="Times New Roman"/>
                <w:sz w:val="24"/>
                <w:szCs w:val="24"/>
              </w:rPr>
            </w:pPr>
          </w:p>
        </w:tc>
        <w:tc>
          <w:tcPr>
            <w:tcW w:w="1013" w:type="dxa"/>
            <w:vAlign w:val="center"/>
          </w:tcPr>
          <w:p>
            <w:pPr>
              <w:ind w:right="-154" w:firstLine="480"/>
              <w:jc w:val="center"/>
              <w:rPr>
                <w:rFonts w:hAnsi="宋体" w:cs="Times New Roman"/>
                <w:sz w:val="24"/>
                <w:szCs w:val="24"/>
              </w:rPr>
            </w:pPr>
          </w:p>
        </w:tc>
        <w:tc>
          <w:tcPr>
            <w:tcW w:w="1157" w:type="dxa"/>
          </w:tcPr>
          <w:p>
            <w:pPr>
              <w:ind w:right="-154" w:firstLine="480"/>
              <w:jc w:val="center"/>
              <w:rPr>
                <w:rFonts w:hAnsi="宋体" w:cs="Times New Roman"/>
                <w:sz w:val="24"/>
                <w:szCs w:val="24"/>
              </w:rPr>
            </w:pPr>
          </w:p>
        </w:tc>
        <w:tc>
          <w:tcPr>
            <w:tcW w:w="1075" w:type="dxa"/>
          </w:tcPr>
          <w:p>
            <w:pPr>
              <w:ind w:right="-154" w:firstLine="480"/>
              <w:jc w:val="center"/>
              <w:rPr>
                <w:rFonts w:hAnsi="宋体" w:cs="Times New Roman"/>
                <w:sz w:val="24"/>
                <w:szCs w:val="24"/>
              </w:rPr>
            </w:pPr>
          </w:p>
        </w:tc>
        <w:tc>
          <w:tcPr>
            <w:tcW w:w="1506" w:type="dxa"/>
            <w:vAlign w:val="center"/>
          </w:tcPr>
          <w:p>
            <w:pPr>
              <w:ind w:right="-154" w:firstLine="480"/>
              <w:jc w:val="center"/>
              <w:rPr>
                <w:rFonts w:hAnsi="宋体" w:cs="Times New Roman"/>
                <w:sz w:val="24"/>
                <w:szCs w:val="24"/>
              </w:rPr>
            </w:pPr>
          </w:p>
        </w:tc>
      </w:tr>
    </w:tbl>
    <w:p>
      <w:pPr>
        <w:widowControl/>
        <w:adjustRightInd w:val="0"/>
        <w:snapToGrid w:val="0"/>
        <w:spacing w:line="312" w:lineRule="auto"/>
        <w:ind w:right="-154" w:firstLine="0" w:firstLineChars="0"/>
        <w:jc w:val="left"/>
        <w:rPr>
          <w:rFonts w:ascii="宋体" w:cs="Times New Roman"/>
          <w:kern w:val="0"/>
          <w:sz w:val="28"/>
          <w:szCs w:val="28"/>
        </w:rPr>
      </w:pPr>
    </w:p>
    <w:p>
      <w:pPr>
        <w:widowControl/>
        <w:adjustRightInd w:val="0"/>
        <w:snapToGrid w:val="0"/>
        <w:spacing w:line="312" w:lineRule="auto"/>
        <w:ind w:right="-154" w:firstLine="551" w:firstLineChars="196"/>
        <w:jc w:val="left"/>
        <w:rPr>
          <w:rFonts w:ascii="宋体" w:cs="Times New Roman"/>
          <w:kern w:val="0"/>
          <w:sz w:val="28"/>
          <w:szCs w:val="28"/>
        </w:rPr>
      </w:pPr>
      <w:r>
        <w:rPr>
          <w:rFonts w:ascii="宋体" w:hAnsi="宋体" w:cs="宋体"/>
          <w:b/>
          <w:bCs/>
          <w:kern w:val="0"/>
          <w:sz w:val="28"/>
          <w:szCs w:val="28"/>
        </w:rPr>
        <w:t>1</w:t>
      </w:r>
      <w:r>
        <w:rPr>
          <w:rFonts w:hint="eastAsia" w:ascii="宋体" w:hAnsi="宋体" w:cs="宋体"/>
          <w:b/>
          <w:bCs/>
          <w:kern w:val="0"/>
          <w:sz w:val="28"/>
          <w:szCs w:val="28"/>
        </w:rPr>
        <w:t>、通识教育必修课：</w:t>
      </w:r>
      <w:r>
        <w:rPr>
          <w:rFonts w:hint="eastAsia" w:ascii="宋体" w:hAnsi="宋体" w:cs="宋体"/>
          <w:kern w:val="0"/>
          <w:sz w:val="28"/>
          <w:szCs w:val="28"/>
        </w:rPr>
        <w:t>是指全校所有学生必修的通识课程，包括思政课、英语、大学计算机基础、军事理论等，由学校统一安排学分学时。</w:t>
      </w:r>
    </w:p>
    <w:p>
      <w:pPr>
        <w:widowControl/>
        <w:adjustRightInd w:val="0"/>
        <w:snapToGrid w:val="0"/>
        <w:spacing w:line="312" w:lineRule="auto"/>
        <w:ind w:right="-154" w:firstLine="551" w:firstLineChars="196"/>
        <w:jc w:val="left"/>
        <w:rPr>
          <w:rFonts w:ascii="宋体" w:cs="Times New Roman"/>
          <w:b/>
          <w:bCs/>
          <w:kern w:val="0"/>
          <w:sz w:val="28"/>
          <w:szCs w:val="28"/>
        </w:rPr>
      </w:pPr>
      <w:r>
        <w:rPr>
          <w:rFonts w:ascii="宋体" w:hAnsi="宋体" w:cs="宋体"/>
          <w:b/>
          <w:bCs/>
          <w:kern w:val="0"/>
          <w:sz w:val="28"/>
          <w:szCs w:val="28"/>
        </w:rPr>
        <w:t>2</w:t>
      </w:r>
      <w:r>
        <w:rPr>
          <w:rFonts w:hint="eastAsia" w:ascii="宋体" w:hAnsi="宋体" w:cs="宋体"/>
          <w:b/>
          <w:bCs/>
          <w:kern w:val="0"/>
          <w:sz w:val="28"/>
          <w:szCs w:val="28"/>
        </w:rPr>
        <w:t>、通识教育选修课：</w:t>
      </w:r>
      <w:r>
        <w:rPr>
          <w:rFonts w:hint="eastAsia" w:ascii="宋体" w:hAnsi="宋体" w:cs="宋体"/>
          <w:kern w:val="0"/>
          <w:sz w:val="28"/>
          <w:szCs w:val="28"/>
        </w:rPr>
        <w:t>是指全校所有学生在第</w:t>
      </w:r>
      <w:r>
        <w:rPr>
          <w:rFonts w:ascii="宋体" w:hAnsi="宋体" w:cs="宋体"/>
          <w:kern w:val="0"/>
          <w:sz w:val="28"/>
          <w:szCs w:val="28"/>
        </w:rPr>
        <w:t>8</w:t>
      </w:r>
      <w:r>
        <w:rPr>
          <w:rFonts w:hint="eastAsia" w:ascii="宋体" w:hAnsi="宋体" w:cs="宋体"/>
          <w:kern w:val="0"/>
          <w:sz w:val="28"/>
          <w:szCs w:val="28"/>
        </w:rPr>
        <w:t>学期前需要在六个模块中修满</w:t>
      </w:r>
      <w:r>
        <w:rPr>
          <w:rFonts w:ascii="宋体" w:hAnsi="宋体" w:cs="宋体"/>
          <w:kern w:val="0"/>
          <w:sz w:val="28"/>
          <w:szCs w:val="28"/>
        </w:rPr>
        <w:t>8</w:t>
      </w:r>
      <w:r>
        <w:rPr>
          <w:rFonts w:hint="eastAsia" w:ascii="宋体" w:hAnsi="宋体" w:cs="宋体"/>
          <w:kern w:val="0"/>
          <w:sz w:val="28"/>
          <w:szCs w:val="28"/>
        </w:rPr>
        <w:t>个学分的通识类选修课程。</w:t>
      </w:r>
    </w:p>
    <w:p>
      <w:pPr>
        <w:widowControl/>
        <w:adjustRightInd w:val="0"/>
        <w:snapToGrid w:val="0"/>
        <w:spacing w:line="312" w:lineRule="auto"/>
        <w:ind w:right="-154" w:firstLine="551" w:firstLineChars="196"/>
        <w:jc w:val="left"/>
        <w:rPr>
          <w:rFonts w:ascii="宋体" w:cs="Times New Roman"/>
          <w:kern w:val="0"/>
          <w:sz w:val="28"/>
          <w:szCs w:val="28"/>
        </w:rPr>
      </w:pPr>
      <w:r>
        <w:rPr>
          <w:rFonts w:ascii="宋体" w:hAnsi="宋体" w:cs="宋体"/>
          <w:b/>
          <w:bCs/>
          <w:kern w:val="0"/>
          <w:sz w:val="28"/>
          <w:szCs w:val="28"/>
        </w:rPr>
        <w:t>3</w:t>
      </w:r>
      <w:r>
        <w:rPr>
          <w:rFonts w:hint="eastAsia" w:ascii="宋体" w:hAnsi="宋体" w:cs="宋体"/>
          <w:b/>
          <w:bCs/>
          <w:kern w:val="0"/>
          <w:sz w:val="28"/>
          <w:szCs w:val="28"/>
        </w:rPr>
        <w:t>、学科基础课</w:t>
      </w:r>
      <w:r>
        <w:rPr>
          <w:rFonts w:hint="eastAsia" w:ascii="宋体" w:hAnsi="宋体" w:cs="宋体"/>
          <w:kern w:val="0"/>
          <w:sz w:val="28"/>
          <w:szCs w:val="28"/>
        </w:rPr>
        <w:t>：是指同一学科领域的各专业都必须掌握的基础知识课程，为进一步学习专业知识和技能打下基础。</w:t>
      </w:r>
      <w:r>
        <w:rPr>
          <w:rFonts w:ascii="宋体" w:hAnsi="宋体" w:cs="宋体"/>
          <w:kern w:val="0"/>
          <w:sz w:val="28"/>
          <w:szCs w:val="28"/>
        </w:rPr>
        <w:t xml:space="preserve"> </w:t>
      </w:r>
    </w:p>
    <w:p>
      <w:pPr>
        <w:widowControl/>
        <w:adjustRightInd w:val="0"/>
        <w:snapToGrid w:val="0"/>
        <w:spacing w:line="312" w:lineRule="auto"/>
        <w:ind w:right="-154" w:firstLine="551" w:firstLineChars="196"/>
        <w:jc w:val="left"/>
        <w:rPr>
          <w:rFonts w:ascii="宋体" w:cs="Times New Roman"/>
          <w:kern w:val="0"/>
          <w:sz w:val="28"/>
          <w:szCs w:val="28"/>
        </w:rPr>
      </w:pPr>
      <w:r>
        <w:rPr>
          <w:rFonts w:ascii="宋体" w:hAnsi="宋体" w:cs="宋体"/>
          <w:b/>
          <w:bCs/>
          <w:kern w:val="0"/>
          <w:sz w:val="28"/>
          <w:szCs w:val="28"/>
        </w:rPr>
        <w:t>4</w:t>
      </w:r>
      <w:r>
        <w:rPr>
          <w:rFonts w:hint="eastAsia" w:ascii="宋体" w:hAnsi="宋体" w:cs="宋体"/>
          <w:b/>
          <w:bCs/>
          <w:kern w:val="0"/>
          <w:sz w:val="28"/>
          <w:szCs w:val="28"/>
        </w:rPr>
        <w:t>、专业核心课</w:t>
      </w:r>
      <w:r>
        <w:rPr>
          <w:rFonts w:hint="eastAsia" w:ascii="宋体" w:hAnsi="宋体" w:cs="宋体"/>
          <w:kern w:val="0"/>
          <w:sz w:val="28"/>
          <w:szCs w:val="28"/>
        </w:rPr>
        <w:t>：是指在人才培养中为实现专业培养目标，对学生掌握专业核心知识和培养专业核心能力，对提高该专业核心竞争能力起决定作用的课程。除专业课程之外，其中还可以包括一部分学科基础课和公共必修课（如经管类专业的高等数学等）。专业核心课程一般在</w:t>
      </w:r>
      <w:r>
        <w:rPr>
          <w:rFonts w:ascii="宋体" w:hAnsi="宋体" w:cs="宋体"/>
          <w:kern w:val="0"/>
          <w:sz w:val="28"/>
          <w:szCs w:val="28"/>
        </w:rPr>
        <w:t>800</w:t>
      </w:r>
      <w:r>
        <w:rPr>
          <w:rFonts w:hint="eastAsia" w:ascii="宋体" w:hAnsi="宋体" w:cs="宋体"/>
          <w:kern w:val="0"/>
          <w:sz w:val="28"/>
          <w:szCs w:val="28"/>
        </w:rPr>
        <w:t>个课时，</w:t>
      </w:r>
      <w:r>
        <w:rPr>
          <w:rFonts w:ascii="宋体" w:hAnsi="宋体" w:cs="宋体"/>
          <w:kern w:val="0"/>
          <w:sz w:val="28"/>
          <w:szCs w:val="28"/>
        </w:rPr>
        <w:t>45</w:t>
      </w:r>
      <w:r>
        <w:rPr>
          <w:rFonts w:hint="eastAsia" w:ascii="宋体" w:hAnsi="宋体" w:cs="宋体"/>
          <w:kern w:val="0"/>
          <w:sz w:val="28"/>
          <w:szCs w:val="28"/>
        </w:rPr>
        <w:t>个学分左右，各专业根据人才培养规格实现的需要和学生成果导向的需要进行确定。</w:t>
      </w:r>
    </w:p>
    <w:p>
      <w:pPr>
        <w:widowControl/>
        <w:adjustRightInd w:val="0"/>
        <w:snapToGrid w:val="0"/>
        <w:spacing w:line="312" w:lineRule="auto"/>
        <w:ind w:right="-154" w:firstLine="551" w:firstLineChars="196"/>
        <w:jc w:val="left"/>
        <w:rPr>
          <w:rFonts w:ascii="宋体" w:cs="Times New Roman"/>
          <w:kern w:val="0"/>
          <w:sz w:val="28"/>
          <w:szCs w:val="28"/>
        </w:rPr>
      </w:pPr>
      <w:r>
        <w:rPr>
          <w:rFonts w:ascii="宋体" w:hAnsi="宋体" w:cs="宋体"/>
          <w:b/>
          <w:bCs/>
          <w:kern w:val="0"/>
          <w:sz w:val="28"/>
          <w:szCs w:val="28"/>
        </w:rPr>
        <w:t>5</w:t>
      </w:r>
      <w:r>
        <w:rPr>
          <w:rFonts w:hint="eastAsia" w:ascii="宋体" w:hAnsi="宋体" w:cs="宋体"/>
          <w:b/>
          <w:bCs/>
          <w:kern w:val="0"/>
          <w:sz w:val="28"/>
          <w:szCs w:val="28"/>
        </w:rPr>
        <w:t>、专业方向课程</w:t>
      </w:r>
      <w:r>
        <w:rPr>
          <w:rFonts w:hint="eastAsia" w:ascii="宋体" w:hAnsi="宋体" w:cs="宋体"/>
          <w:kern w:val="0"/>
          <w:sz w:val="28"/>
          <w:szCs w:val="28"/>
        </w:rPr>
        <w:t>：是指面向某一个或一群职业岗位的专业技能课程，为培养某一方面专门化人才的特定需求而设置的方向必修课程。如：电子信息工程专业为玩具电子方向开设的《机器人控制技术》课程。</w:t>
      </w:r>
    </w:p>
    <w:p>
      <w:pPr>
        <w:widowControl/>
        <w:adjustRightInd w:val="0"/>
        <w:snapToGrid w:val="0"/>
        <w:spacing w:line="360" w:lineRule="auto"/>
        <w:ind w:right="-154" w:firstLine="551" w:firstLineChars="196"/>
        <w:jc w:val="left"/>
        <w:rPr>
          <w:rFonts w:ascii="宋体" w:cs="Times New Roman"/>
          <w:kern w:val="0"/>
          <w:sz w:val="28"/>
          <w:szCs w:val="28"/>
        </w:rPr>
      </w:pPr>
      <w:r>
        <w:rPr>
          <w:rFonts w:ascii="宋体" w:hAnsi="宋体" w:cs="宋体"/>
          <w:b/>
          <w:bCs/>
          <w:kern w:val="0"/>
          <w:sz w:val="28"/>
          <w:szCs w:val="28"/>
        </w:rPr>
        <w:t>6</w:t>
      </w:r>
      <w:r>
        <w:rPr>
          <w:rFonts w:hint="eastAsia" w:ascii="宋体" w:hAnsi="宋体" w:cs="宋体"/>
          <w:b/>
          <w:bCs/>
          <w:kern w:val="0"/>
          <w:sz w:val="28"/>
          <w:szCs w:val="28"/>
        </w:rPr>
        <w:t>、项目类课程</w:t>
      </w:r>
      <w:r>
        <w:rPr>
          <w:rFonts w:hint="eastAsia" w:ascii="宋体" w:hAnsi="宋体" w:cs="宋体"/>
          <w:kern w:val="0"/>
          <w:sz w:val="28"/>
          <w:szCs w:val="28"/>
        </w:rPr>
        <w:t>：是指课程活动是通过共同实施一个完整的项目工作而进行的教学过程。课程内容围绕着一项计划好的有固定的开始时间和结束时间的工作进行，原则上课程结束后学生应有一件较完整的作品。</w:t>
      </w:r>
    </w:p>
    <w:p>
      <w:pPr>
        <w:widowControl/>
        <w:adjustRightInd w:val="0"/>
        <w:snapToGrid w:val="0"/>
        <w:spacing w:line="360" w:lineRule="auto"/>
        <w:ind w:right="-154" w:firstLine="551" w:firstLineChars="196"/>
        <w:jc w:val="left"/>
        <w:rPr>
          <w:rFonts w:ascii="宋体" w:cs="Times New Roman"/>
          <w:kern w:val="0"/>
          <w:sz w:val="28"/>
          <w:szCs w:val="28"/>
        </w:rPr>
      </w:pPr>
      <w:r>
        <w:rPr>
          <w:rFonts w:ascii="宋体" w:hAnsi="宋体" w:cs="宋体"/>
          <w:b/>
          <w:bCs/>
          <w:kern w:val="0"/>
          <w:sz w:val="28"/>
          <w:szCs w:val="28"/>
        </w:rPr>
        <w:t>7</w:t>
      </w:r>
      <w:r>
        <w:rPr>
          <w:rFonts w:hint="eastAsia" w:ascii="宋体" w:hAnsi="宋体" w:cs="宋体"/>
          <w:b/>
          <w:bCs/>
          <w:kern w:val="0"/>
          <w:sz w:val="28"/>
          <w:szCs w:val="28"/>
        </w:rPr>
        <w:t>、方法技能课程</w:t>
      </w:r>
      <w:r>
        <w:rPr>
          <w:rFonts w:hint="eastAsia" w:ascii="宋体" w:hAnsi="宋体" w:cs="宋体"/>
          <w:kern w:val="0"/>
          <w:sz w:val="28"/>
          <w:szCs w:val="28"/>
        </w:rPr>
        <w:t>：是指培养学生某些实用技能，提供实际操作训练的课程。</w:t>
      </w:r>
    </w:p>
    <w:p>
      <w:pPr>
        <w:widowControl/>
        <w:adjustRightInd w:val="0"/>
        <w:snapToGrid w:val="0"/>
        <w:spacing w:line="360" w:lineRule="auto"/>
        <w:ind w:right="-154" w:firstLine="551" w:firstLineChars="196"/>
        <w:jc w:val="left"/>
        <w:rPr>
          <w:rFonts w:ascii="宋体" w:cs="Times New Roman"/>
          <w:kern w:val="0"/>
          <w:sz w:val="28"/>
          <w:szCs w:val="28"/>
        </w:rPr>
      </w:pPr>
      <w:r>
        <w:rPr>
          <w:rFonts w:ascii="宋体" w:hAnsi="宋体" w:cs="宋体"/>
          <w:b/>
          <w:bCs/>
          <w:kern w:val="0"/>
          <w:sz w:val="28"/>
          <w:szCs w:val="28"/>
        </w:rPr>
        <w:t>8</w:t>
      </w:r>
      <w:r>
        <w:rPr>
          <w:rFonts w:hint="eastAsia" w:ascii="宋体" w:hAnsi="宋体" w:cs="宋体"/>
          <w:b/>
          <w:bCs/>
          <w:kern w:val="0"/>
          <w:sz w:val="28"/>
          <w:szCs w:val="28"/>
        </w:rPr>
        <w:t>、实习</w:t>
      </w:r>
      <w:r>
        <w:rPr>
          <w:rFonts w:hint="eastAsia" w:ascii="宋体" w:hAnsi="宋体" w:cs="宋体"/>
          <w:kern w:val="0"/>
          <w:sz w:val="28"/>
          <w:szCs w:val="28"/>
        </w:rPr>
        <w:t>：可以将各类实习如认知实习、生产实习、专业实习等学分数统一计入该栏，但在教学计划中仍按不同的实习环节分列。</w:t>
      </w:r>
      <w:bookmarkStart w:id="0" w:name="_GoBack"/>
      <w:bookmarkEnd w:id="0"/>
    </w:p>
    <w:p>
      <w:pPr>
        <w:widowControl/>
        <w:adjustRightInd w:val="0"/>
        <w:snapToGrid w:val="0"/>
        <w:spacing w:line="312" w:lineRule="auto"/>
        <w:ind w:right="-154" w:firstLine="0" w:firstLineChars="0"/>
        <w:jc w:val="right"/>
        <w:rPr>
          <w:rFonts w:cs="Times New Roman"/>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Helvetica">
    <w:panose1 w:val="020B0504020202030204"/>
    <w:charset w:val="00"/>
    <w:family w:val="swiss"/>
    <w:pitch w:val="default"/>
    <w:sig w:usb0="00000007" w:usb1="00000000" w:usb2="00000000" w:usb3="00000000" w:csb0="00000093"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简标题宋">
    <w:panose1 w:val="0201060900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3513"/>
    <w:rsid w:val="000602E5"/>
    <w:rsid w:val="000674C0"/>
    <w:rsid w:val="00074AA0"/>
    <w:rsid w:val="001144A4"/>
    <w:rsid w:val="0013318F"/>
    <w:rsid w:val="00145081"/>
    <w:rsid w:val="00147D92"/>
    <w:rsid w:val="00153CE4"/>
    <w:rsid w:val="00154B66"/>
    <w:rsid w:val="001559BA"/>
    <w:rsid w:val="00171E9D"/>
    <w:rsid w:val="0017533E"/>
    <w:rsid w:val="00176399"/>
    <w:rsid w:val="00176E2C"/>
    <w:rsid w:val="00183DD1"/>
    <w:rsid w:val="00192304"/>
    <w:rsid w:val="001A767A"/>
    <w:rsid w:val="001B498D"/>
    <w:rsid w:val="001B5100"/>
    <w:rsid w:val="001B60C0"/>
    <w:rsid w:val="00236F89"/>
    <w:rsid w:val="00240A2B"/>
    <w:rsid w:val="002449FD"/>
    <w:rsid w:val="00271A2E"/>
    <w:rsid w:val="002806ED"/>
    <w:rsid w:val="00287D91"/>
    <w:rsid w:val="0029115F"/>
    <w:rsid w:val="002A0C61"/>
    <w:rsid w:val="002A52A2"/>
    <w:rsid w:val="002A69C0"/>
    <w:rsid w:val="002C6EA0"/>
    <w:rsid w:val="002D250D"/>
    <w:rsid w:val="002D5FB9"/>
    <w:rsid w:val="002D7F43"/>
    <w:rsid w:val="002E420D"/>
    <w:rsid w:val="00312DC8"/>
    <w:rsid w:val="00316ABB"/>
    <w:rsid w:val="00371A32"/>
    <w:rsid w:val="003826CE"/>
    <w:rsid w:val="0038693D"/>
    <w:rsid w:val="003B6ACD"/>
    <w:rsid w:val="003D62F3"/>
    <w:rsid w:val="00405658"/>
    <w:rsid w:val="00407E7E"/>
    <w:rsid w:val="00440772"/>
    <w:rsid w:val="004924FF"/>
    <w:rsid w:val="00495EEE"/>
    <w:rsid w:val="004B2C32"/>
    <w:rsid w:val="004C16E8"/>
    <w:rsid w:val="004C516A"/>
    <w:rsid w:val="004C5213"/>
    <w:rsid w:val="004D37A6"/>
    <w:rsid w:val="004E59BB"/>
    <w:rsid w:val="00527E89"/>
    <w:rsid w:val="0057459A"/>
    <w:rsid w:val="00577069"/>
    <w:rsid w:val="00577B77"/>
    <w:rsid w:val="0059108B"/>
    <w:rsid w:val="005B173D"/>
    <w:rsid w:val="005B514C"/>
    <w:rsid w:val="005C3839"/>
    <w:rsid w:val="005C6F9D"/>
    <w:rsid w:val="005D00D7"/>
    <w:rsid w:val="0062745F"/>
    <w:rsid w:val="00636178"/>
    <w:rsid w:val="00641127"/>
    <w:rsid w:val="00662F8A"/>
    <w:rsid w:val="00690971"/>
    <w:rsid w:val="006B5B03"/>
    <w:rsid w:val="006D1AAE"/>
    <w:rsid w:val="006D4CD7"/>
    <w:rsid w:val="006E0191"/>
    <w:rsid w:val="006E0A37"/>
    <w:rsid w:val="00717F54"/>
    <w:rsid w:val="00774AD8"/>
    <w:rsid w:val="007E00C5"/>
    <w:rsid w:val="007F28E2"/>
    <w:rsid w:val="007F2DD4"/>
    <w:rsid w:val="008002AA"/>
    <w:rsid w:val="008002F6"/>
    <w:rsid w:val="00847D18"/>
    <w:rsid w:val="00850409"/>
    <w:rsid w:val="008C0186"/>
    <w:rsid w:val="00900580"/>
    <w:rsid w:val="00931436"/>
    <w:rsid w:val="00945B97"/>
    <w:rsid w:val="00947165"/>
    <w:rsid w:val="00950686"/>
    <w:rsid w:val="00955B56"/>
    <w:rsid w:val="00963E35"/>
    <w:rsid w:val="009A6B39"/>
    <w:rsid w:val="009C5812"/>
    <w:rsid w:val="009F1D29"/>
    <w:rsid w:val="009F24A5"/>
    <w:rsid w:val="009F3513"/>
    <w:rsid w:val="009F7577"/>
    <w:rsid w:val="00A0173D"/>
    <w:rsid w:val="00A23B9F"/>
    <w:rsid w:val="00A306C3"/>
    <w:rsid w:val="00A40A20"/>
    <w:rsid w:val="00A42EB3"/>
    <w:rsid w:val="00A7532A"/>
    <w:rsid w:val="00AD5B67"/>
    <w:rsid w:val="00AF3D1A"/>
    <w:rsid w:val="00B00216"/>
    <w:rsid w:val="00B0065C"/>
    <w:rsid w:val="00B644EF"/>
    <w:rsid w:val="00BA6983"/>
    <w:rsid w:val="00BB4EA9"/>
    <w:rsid w:val="00BC0CB3"/>
    <w:rsid w:val="00C01AB5"/>
    <w:rsid w:val="00C12B8B"/>
    <w:rsid w:val="00C14661"/>
    <w:rsid w:val="00C348B0"/>
    <w:rsid w:val="00C875F8"/>
    <w:rsid w:val="00CA068E"/>
    <w:rsid w:val="00D43E55"/>
    <w:rsid w:val="00D46C9A"/>
    <w:rsid w:val="00D623E7"/>
    <w:rsid w:val="00D71486"/>
    <w:rsid w:val="00D76D08"/>
    <w:rsid w:val="00D8244D"/>
    <w:rsid w:val="00DD1748"/>
    <w:rsid w:val="00DE3AB4"/>
    <w:rsid w:val="00E072E6"/>
    <w:rsid w:val="00E15BBA"/>
    <w:rsid w:val="00E30ADD"/>
    <w:rsid w:val="00E430B9"/>
    <w:rsid w:val="00E53095"/>
    <w:rsid w:val="00E664BF"/>
    <w:rsid w:val="00E70D28"/>
    <w:rsid w:val="00E84A5B"/>
    <w:rsid w:val="00E84EF6"/>
    <w:rsid w:val="00EC622B"/>
    <w:rsid w:val="00F06C71"/>
    <w:rsid w:val="00F07D00"/>
    <w:rsid w:val="00F130C5"/>
    <w:rsid w:val="00F131C8"/>
    <w:rsid w:val="00F165F7"/>
    <w:rsid w:val="00F241F6"/>
    <w:rsid w:val="00F4427C"/>
    <w:rsid w:val="00F76A29"/>
    <w:rsid w:val="00F8198E"/>
    <w:rsid w:val="00F92A8B"/>
    <w:rsid w:val="00F952D9"/>
    <w:rsid w:val="3C6F7834"/>
    <w:rsid w:val="447C2580"/>
    <w:rsid w:val="7135340C"/>
    <w:rsid w:val="72245AF8"/>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宋体" w:cs="Calibri"/>
      <w:kern w:val="2"/>
      <w:sz w:val="21"/>
      <w:szCs w:val="21"/>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semiHidden/>
    <w:qFormat/>
    <w:uiPriority w:val="99"/>
    <w:pPr>
      <w:ind w:left="100" w:leftChars="2500"/>
    </w:pPr>
  </w:style>
  <w:style w:type="paragraph" w:styleId="3">
    <w:name w:val="footer"/>
    <w:basedOn w:val="1"/>
    <w:link w:val="7"/>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5"/>
    <w:link w:val="3"/>
    <w:semiHidden/>
    <w:locked/>
    <w:uiPriority w:val="99"/>
    <w:rPr>
      <w:sz w:val="18"/>
      <w:szCs w:val="18"/>
    </w:rPr>
  </w:style>
  <w:style w:type="character" w:customStyle="1" w:styleId="8">
    <w:name w:val="页眉 Char"/>
    <w:basedOn w:val="5"/>
    <w:link w:val="4"/>
    <w:semiHidden/>
    <w:locked/>
    <w:uiPriority w:val="99"/>
    <w:rPr>
      <w:sz w:val="18"/>
      <w:szCs w:val="18"/>
    </w:rPr>
  </w:style>
  <w:style w:type="paragraph" w:customStyle="1" w:styleId="9">
    <w:name w:val="列出段落1"/>
    <w:basedOn w:val="1"/>
    <w:uiPriority w:val="99"/>
    <w:pPr>
      <w:ind w:firstLine="420"/>
    </w:pPr>
  </w:style>
  <w:style w:type="character" w:customStyle="1" w:styleId="10">
    <w:name w:val="日期 Char"/>
    <w:basedOn w:val="5"/>
    <w:link w:val="2"/>
    <w:semiHidden/>
    <w:qFormat/>
    <w:locked/>
    <w:uiPriority w:val="99"/>
    <w:rPr>
      <w:rFonts w:ascii="Calibri" w:hAnsi="Calibri" w:cs="Calibri"/>
      <w:kern w:val="2"/>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3</Pages>
  <Words>181</Words>
  <Characters>1034</Characters>
  <Lines>8</Lines>
  <Paragraphs>2</Paragraphs>
  <TotalTime>0</TotalTime>
  <ScaleCrop>false</ScaleCrop>
  <LinksUpToDate>false</LinksUpToDate>
  <CharactersWithSpaces>1213</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2016-08-12T01:15:00Z</dcterms:created>
  <dc:creator>曾宪群</dc:creator>
  <cp:lastModifiedBy>曾宪群</cp:lastModifiedBy>
  <cp:lastPrinted>2015-05-28T01:59:00Z</cp:lastPrinted>
  <dcterms:modified xsi:type="dcterms:W3CDTF">2016-09-19T09:12:23Z</dcterms:modified>
  <dc:title>关于修订2015级本科专业人才培养方案的补充通知</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