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仿宋" w:hAnsi="仿宋" w:eastAsia="仿宋"/>
          <w:b/>
          <w:bCs/>
          <w:sz w:val="28"/>
          <w:szCs w:val="28"/>
        </w:rPr>
      </w:pPr>
      <w:r>
        <w:rPr>
          <w:rFonts w:hint="eastAsia" w:ascii="仿宋" w:hAnsi="仿宋" w:eastAsia="仿宋" w:cs="仿宋"/>
          <w:b/>
          <w:bCs/>
          <w:sz w:val="28"/>
          <w:szCs w:val="28"/>
        </w:rPr>
        <w:t>附件</w:t>
      </w:r>
      <w:r>
        <w:rPr>
          <w:rFonts w:ascii="仿宋" w:hAnsi="仿宋" w:eastAsia="仿宋" w:cs="仿宋"/>
          <w:b/>
          <w:bCs/>
          <w:sz w:val="28"/>
          <w:szCs w:val="28"/>
        </w:rPr>
        <w:t>1</w:t>
      </w:r>
      <w:r>
        <w:rPr>
          <w:rFonts w:hint="eastAsia" w:ascii="仿宋" w:hAnsi="仿宋" w:eastAsia="仿宋" w:cs="仿宋"/>
          <w:b/>
          <w:bCs/>
          <w:sz w:val="28"/>
          <w:szCs w:val="28"/>
        </w:rPr>
        <w:t>：</w:t>
      </w:r>
    </w:p>
    <w:p>
      <w:pPr>
        <w:adjustRightInd w:val="0"/>
        <w:snapToGrid w:val="0"/>
        <w:jc w:val="center"/>
        <w:rPr>
          <w:rFonts w:ascii="仿宋" w:hAnsi="仿宋" w:eastAsia="仿宋"/>
          <w:b/>
          <w:bCs/>
          <w:sz w:val="32"/>
          <w:szCs w:val="32"/>
        </w:rPr>
      </w:pPr>
      <w:r>
        <w:rPr>
          <w:rFonts w:hint="eastAsia" w:ascii="仿宋" w:hAnsi="仿宋" w:eastAsia="仿宋" w:cs="仿宋"/>
          <w:b/>
          <w:bCs/>
          <w:sz w:val="32"/>
          <w:szCs w:val="32"/>
        </w:rPr>
        <w:t>关于修订</w:t>
      </w:r>
      <w:r>
        <w:rPr>
          <w:rFonts w:ascii="仿宋" w:hAnsi="仿宋" w:eastAsia="仿宋" w:cs="仿宋"/>
          <w:b/>
          <w:bCs/>
          <w:sz w:val="32"/>
          <w:szCs w:val="32"/>
        </w:rPr>
        <w:t>2016</w:t>
      </w:r>
      <w:r>
        <w:rPr>
          <w:rFonts w:hint="eastAsia" w:ascii="仿宋" w:hAnsi="仿宋" w:eastAsia="仿宋" w:cs="仿宋"/>
          <w:b/>
          <w:bCs/>
          <w:sz w:val="32"/>
          <w:szCs w:val="32"/>
        </w:rPr>
        <w:t>级本科</w:t>
      </w:r>
      <w:r>
        <w:rPr>
          <w:rFonts w:hint="eastAsia" w:ascii="仿宋" w:hAnsi="仿宋" w:eastAsia="仿宋" w:cs="仿宋"/>
          <w:b/>
          <w:bCs/>
          <w:sz w:val="32"/>
          <w:szCs w:val="32"/>
          <w:lang w:eastAsia="zh-CN"/>
        </w:rPr>
        <w:t>专业</w:t>
      </w:r>
      <w:bookmarkStart w:id="0" w:name="_GoBack"/>
      <w:bookmarkEnd w:id="0"/>
      <w:r>
        <w:rPr>
          <w:rFonts w:hint="eastAsia" w:ascii="仿宋" w:hAnsi="仿宋" w:eastAsia="仿宋" w:cs="仿宋"/>
          <w:b/>
          <w:bCs/>
          <w:sz w:val="32"/>
          <w:szCs w:val="32"/>
        </w:rPr>
        <w:t>人才培养方案的原则意见</w:t>
      </w:r>
    </w:p>
    <w:p>
      <w:pPr>
        <w:adjustRightInd w:val="0"/>
        <w:snapToGrid w:val="0"/>
        <w:jc w:val="center"/>
        <w:rPr>
          <w:rFonts w:ascii="仿宋" w:hAnsi="仿宋" w:eastAsia="仿宋"/>
          <w:b/>
          <w:bCs/>
          <w:sz w:val="28"/>
          <w:szCs w:val="28"/>
        </w:rPr>
      </w:pP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为进一步推进我校创建高水平理工科大学，加快高素质应用型人才培养体系建设，构建特色化的教学体系，全面贯彻《国家中长期教育改革和发展规划纲要（</w:t>
      </w:r>
      <w:r>
        <w:rPr>
          <w:rFonts w:ascii="仿宋" w:hAnsi="仿宋" w:eastAsia="仿宋" w:cs="仿宋"/>
          <w:sz w:val="28"/>
          <w:szCs w:val="28"/>
        </w:rPr>
        <w:t>2010-2020</w:t>
      </w:r>
      <w:r>
        <w:rPr>
          <w:rFonts w:hint="eastAsia" w:ascii="仿宋" w:hAnsi="仿宋" w:eastAsia="仿宋" w:cs="仿宋"/>
          <w:sz w:val="28"/>
          <w:szCs w:val="28"/>
        </w:rPr>
        <w:t>年）》、教育部《关于全面提高高等教育质量的若干意见》、广东省教育厅《以协同创新为引领，全面提高广东高等教育质量的若干意见》、《东莞理工学院创新发展战略规划（</w:t>
      </w:r>
      <w:r>
        <w:rPr>
          <w:rFonts w:ascii="仿宋" w:hAnsi="仿宋" w:eastAsia="仿宋" w:cs="仿宋"/>
          <w:sz w:val="28"/>
          <w:szCs w:val="28"/>
        </w:rPr>
        <w:t>2013-2020</w:t>
      </w:r>
      <w:r>
        <w:rPr>
          <w:rFonts w:hint="eastAsia" w:ascii="仿宋" w:hAnsi="仿宋" w:eastAsia="仿宋" w:cs="仿宋"/>
          <w:sz w:val="28"/>
          <w:szCs w:val="28"/>
        </w:rPr>
        <w:t>年）》、《广东省教育厅</w:t>
      </w:r>
      <w:r>
        <w:rPr>
          <w:rFonts w:ascii="仿宋" w:hAnsi="仿宋" w:eastAsia="仿宋" w:cs="仿宋"/>
          <w:sz w:val="28"/>
          <w:szCs w:val="28"/>
        </w:rPr>
        <w:t xml:space="preserve"> </w:t>
      </w:r>
      <w:r>
        <w:rPr>
          <w:rFonts w:hint="eastAsia" w:ascii="仿宋" w:hAnsi="仿宋" w:eastAsia="仿宋" w:cs="仿宋"/>
          <w:sz w:val="28"/>
          <w:szCs w:val="28"/>
        </w:rPr>
        <w:t>东莞理工学院共同建设高水平理工科大学协议》等文件精神，按照基于学习产出的教育模式（</w:t>
      </w:r>
      <w:r>
        <w:rPr>
          <w:rFonts w:ascii="仿宋" w:hAnsi="仿宋" w:eastAsia="仿宋" w:cs="仿宋"/>
          <w:sz w:val="28"/>
          <w:szCs w:val="28"/>
        </w:rPr>
        <w:t>OBE</w:t>
      </w:r>
      <w:r>
        <w:rPr>
          <w:rFonts w:hint="eastAsia" w:ascii="仿宋" w:hAnsi="仿宋" w:eastAsia="仿宋" w:cs="仿宋"/>
          <w:sz w:val="28"/>
          <w:szCs w:val="28"/>
        </w:rPr>
        <w:t>）的理念，结合我校实际，现就</w:t>
      </w:r>
      <w:r>
        <w:rPr>
          <w:rFonts w:ascii="仿宋" w:hAnsi="仿宋" w:eastAsia="仿宋" w:cs="仿宋"/>
          <w:sz w:val="28"/>
          <w:szCs w:val="28"/>
        </w:rPr>
        <w:t>2016</w:t>
      </w:r>
      <w:r>
        <w:rPr>
          <w:rFonts w:hint="eastAsia" w:ascii="仿宋" w:hAnsi="仿宋" w:eastAsia="仿宋" w:cs="仿宋"/>
          <w:sz w:val="28"/>
          <w:szCs w:val="28"/>
        </w:rPr>
        <w:t>级本科人才培养方案的修订工作提出以下的原则意见。</w:t>
      </w:r>
    </w:p>
    <w:p>
      <w:pPr>
        <w:adjustRightInd w:val="0"/>
        <w:snapToGrid w:val="0"/>
        <w:ind w:firstLine="560" w:firstLineChars="200"/>
        <w:rPr>
          <w:rFonts w:ascii="仿宋" w:hAnsi="仿宋" w:eastAsia="仿宋"/>
          <w:sz w:val="28"/>
          <w:szCs w:val="28"/>
        </w:rPr>
      </w:pPr>
    </w:p>
    <w:p>
      <w:pPr>
        <w:adjustRightInd w:val="0"/>
        <w:snapToGrid w:val="0"/>
        <w:rPr>
          <w:rFonts w:ascii="仿宋" w:hAnsi="仿宋" w:eastAsia="仿宋"/>
          <w:b/>
          <w:bCs/>
          <w:sz w:val="28"/>
          <w:szCs w:val="28"/>
        </w:rPr>
      </w:pPr>
      <w:r>
        <w:rPr>
          <w:rFonts w:hint="eastAsia" w:ascii="仿宋" w:hAnsi="仿宋" w:eastAsia="仿宋" w:cs="仿宋"/>
          <w:b/>
          <w:bCs/>
          <w:sz w:val="28"/>
          <w:szCs w:val="28"/>
        </w:rPr>
        <w:t>一、基本原则</w:t>
      </w:r>
    </w:p>
    <w:p>
      <w:pPr>
        <w:adjustRightInd w:val="0"/>
        <w:snapToGrid w:val="0"/>
        <w:ind w:left="142"/>
        <w:rPr>
          <w:rFonts w:ascii="仿宋" w:hAnsi="仿宋" w:eastAsia="仿宋"/>
          <w:b/>
          <w:bCs/>
          <w:sz w:val="28"/>
          <w:szCs w:val="28"/>
        </w:rPr>
      </w:pPr>
      <w:r>
        <w:rPr>
          <w:rFonts w:hint="eastAsia" w:ascii="仿宋" w:hAnsi="仿宋" w:eastAsia="仿宋" w:cs="仿宋"/>
          <w:b/>
          <w:bCs/>
          <w:sz w:val="28"/>
          <w:szCs w:val="28"/>
        </w:rPr>
        <w:t>（一）应用为本</w:t>
      </w:r>
    </w:p>
    <w:p>
      <w:pPr>
        <w:adjustRightInd w:val="0"/>
        <w:snapToGrid w:val="0"/>
        <w:ind w:left="143" w:leftChars="68" w:firstLine="560" w:firstLineChars="200"/>
        <w:rPr>
          <w:rFonts w:ascii="仿宋" w:hAnsi="仿宋" w:eastAsia="仿宋"/>
          <w:sz w:val="28"/>
          <w:szCs w:val="28"/>
        </w:rPr>
      </w:pPr>
      <w:r>
        <w:rPr>
          <w:rFonts w:hint="eastAsia" w:ascii="仿宋" w:hAnsi="仿宋" w:eastAsia="仿宋" w:cs="仿宋"/>
          <w:sz w:val="28"/>
          <w:szCs w:val="28"/>
        </w:rPr>
        <w:t>强调应用能力本位的人才培养，注重理论教学的同时，更加突出实践性。在专业人才培养方案的设计上，要针对企业、行业和社会发展的需要，做好充分的调查研究，使培养方案具备鲜明的时代特征，以增强学生的就业能力。</w:t>
      </w:r>
    </w:p>
    <w:p>
      <w:pPr>
        <w:adjustRightInd w:val="0"/>
        <w:snapToGrid w:val="0"/>
        <w:ind w:left="142"/>
        <w:rPr>
          <w:rFonts w:ascii="仿宋" w:hAnsi="仿宋" w:eastAsia="仿宋"/>
          <w:b/>
          <w:bCs/>
          <w:sz w:val="28"/>
          <w:szCs w:val="28"/>
        </w:rPr>
      </w:pPr>
      <w:r>
        <w:rPr>
          <w:rFonts w:hint="eastAsia" w:ascii="仿宋" w:hAnsi="仿宋" w:eastAsia="仿宋" w:cs="仿宋"/>
          <w:b/>
          <w:bCs/>
          <w:sz w:val="28"/>
          <w:szCs w:val="28"/>
        </w:rPr>
        <w:t>（二）学生为本</w:t>
      </w:r>
    </w:p>
    <w:p>
      <w:pPr>
        <w:widowControl/>
        <w:snapToGrid w:val="0"/>
        <w:ind w:firstLine="480"/>
        <w:jc w:val="left"/>
        <w:rPr>
          <w:rFonts w:ascii="仿宋" w:hAnsi="仿宋" w:eastAsia="仿宋"/>
          <w:sz w:val="28"/>
          <w:szCs w:val="28"/>
        </w:rPr>
      </w:pPr>
      <w:r>
        <w:rPr>
          <w:rFonts w:hint="eastAsia" w:ascii="仿宋" w:hAnsi="仿宋" w:eastAsia="仿宋" w:cs="仿宋"/>
          <w:sz w:val="28"/>
          <w:szCs w:val="28"/>
        </w:rPr>
        <w:t>人才培养要体现学生成为教学活动的中心位置，注重思考学生能学到什么而不是老师能教什么，以学生的预期学习产出为导向，进行专业和课程的相应设计。重点提高学生的思维能力、学习能力、表达能力、专业技术能力和团队合作能力，并使学生获得健康的体魄和形成良好的生活方式。</w:t>
      </w:r>
    </w:p>
    <w:p>
      <w:pPr>
        <w:adjustRightInd w:val="0"/>
        <w:snapToGrid w:val="0"/>
        <w:rPr>
          <w:rFonts w:ascii="仿宋" w:hAnsi="仿宋" w:eastAsia="仿宋"/>
          <w:b/>
          <w:bCs/>
          <w:sz w:val="28"/>
          <w:szCs w:val="28"/>
        </w:rPr>
      </w:pPr>
      <w:r>
        <w:rPr>
          <w:rFonts w:hint="eastAsia" w:ascii="仿宋" w:hAnsi="仿宋" w:eastAsia="仿宋" w:cs="仿宋"/>
          <w:b/>
          <w:bCs/>
          <w:sz w:val="28"/>
          <w:szCs w:val="28"/>
        </w:rPr>
        <w:t>（三）特色为本</w:t>
      </w:r>
    </w:p>
    <w:p>
      <w:pPr>
        <w:widowControl/>
        <w:snapToGrid w:val="0"/>
        <w:ind w:firstLine="480"/>
        <w:jc w:val="left"/>
        <w:rPr>
          <w:rFonts w:ascii="仿宋" w:hAnsi="仿宋" w:eastAsia="仿宋"/>
          <w:sz w:val="28"/>
          <w:szCs w:val="28"/>
        </w:rPr>
      </w:pPr>
      <w:r>
        <w:rPr>
          <w:rFonts w:hint="eastAsia" w:ascii="仿宋" w:hAnsi="仿宋" w:eastAsia="仿宋" w:cs="仿宋"/>
          <w:kern w:val="0"/>
          <w:sz w:val="28"/>
          <w:szCs w:val="28"/>
        </w:rPr>
        <w:t>在遵循学院培养方案总体框架基础上，根据各专业的特点、专业建设和教学改革需要，在充分挖掘现有教学积淀的基础上，科学设计人才培养体系和课程体系，整合优质资源，重点突破，彰显专业特色。结合专业建设实际情况，选择适合本专业的人才培养模式。</w:t>
      </w:r>
    </w:p>
    <w:p>
      <w:pPr>
        <w:adjustRightInd w:val="0"/>
        <w:snapToGrid w:val="0"/>
        <w:ind w:left="142" w:firstLine="566" w:firstLineChars="202"/>
        <w:rPr>
          <w:rFonts w:ascii="仿宋" w:hAnsi="仿宋" w:eastAsia="仿宋"/>
          <w:sz w:val="28"/>
          <w:szCs w:val="28"/>
        </w:rPr>
      </w:pPr>
      <w:r>
        <w:rPr>
          <w:rFonts w:hint="eastAsia" w:ascii="仿宋" w:hAnsi="仿宋" w:eastAsia="仿宋" w:cs="仿宋"/>
          <w:sz w:val="28"/>
          <w:szCs w:val="28"/>
        </w:rPr>
        <w:t>各专业应根据社会需求和学生个性发展需要设置专业方向模块，开设与本专业特色发展吻合，与学生全面发展相适应的个性化课程，鼓励学生自主选择专业方向、自主选修课程。</w:t>
      </w:r>
    </w:p>
    <w:p>
      <w:pPr>
        <w:adjustRightInd w:val="0"/>
        <w:snapToGrid w:val="0"/>
        <w:rPr>
          <w:rFonts w:ascii="仿宋" w:hAnsi="仿宋" w:eastAsia="仿宋"/>
          <w:b/>
          <w:bCs/>
          <w:sz w:val="28"/>
          <w:szCs w:val="28"/>
        </w:rPr>
      </w:pPr>
      <w:r>
        <w:rPr>
          <w:rFonts w:hint="eastAsia" w:ascii="仿宋" w:hAnsi="仿宋" w:eastAsia="仿宋" w:cs="仿宋"/>
          <w:b/>
          <w:bCs/>
          <w:sz w:val="28"/>
          <w:szCs w:val="28"/>
        </w:rPr>
        <w:t>（四）课程为本</w:t>
      </w:r>
    </w:p>
    <w:p>
      <w:pPr>
        <w:widowControl/>
        <w:snapToGrid w:val="0"/>
        <w:ind w:firstLine="619" w:firstLineChars="221"/>
        <w:jc w:val="left"/>
        <w:rPr>
          <w:rFonts w:ascii="仿宋" w:hAnsi="仿宋" w:eastAsia="仿宋"/>
          <w:kern w:val="0"/>
          <w:sz w:val="28"/>
          <w:szCs w:val="28"/>
        </w:rPr>
      </w:pPr>
      <w:r>
        <w:rPr>
          <w:rFonts w:hint="eastAsia" w:ascii="仿宋" w:hAnsi="仿宋" w:eastAsia="仿宋" w:cs="仿宋"/>
          <w:kern w:val="0"/>
          <w:sz w:val="28"/>
          <w:szCs w:val="28"/>
        </w:rPr>
        <w:t>人才培养的落脚点是课程，</w:t>
      </w:r>
      <w:r>
        <w:rPr>
          <w:rFonts w:hint="eastAsia" w:ascii="仿宋" w:hAnsi="仿宋" w:eastAsia="仿宋" w:cs="仿宋"/>
          <w:sz w:val="28"/>
          <w:szCs w:val="28"/>
        </w:rPr>
        <w:t>围绕专业预期学习产出，逆向设计各门课程，明确各门课程对于实现预期学习产出的贡献及程度，实现培养目标、培养理念和课程体系的一体化设计。</w:t>
      </w:r>
      <w:r>
        <w:rPr>
          <w:rFonts w:hint="eastAsia" w:ascii="仿宋" w:hAnsi="仿宋" w:eastAsia="仿宋" w:cs="仿宋"/>
          <w:kern w:val="0"/>
          <w:sz w:val="28"/>
          <w:szCs w:val="28"/>
        </w:rPr>
        <w:t>要进一步实现课程体系的整体优化，要注重课程之间在逻辑和结构上的联系和融合，妥善处理好通识教育课程、专业课程、实践课程的关系，处理好课程的先行与后续、基础与专业、理论与实践的关系。课程设置要以人才培养目标和毕业要求为依据，坚决克服因人设置课程的偏向。</w:t>
      </w:r>
    </w:p>
    <w:p>
      <w:pPr>
        <w:adjustRightInd w:val="0"/>
        <w:snapToGrid w:val="0"/>
        <w:ind w:left="142" w:firstLine="566" w:firstLineChars="202"/>
        <w:rPr>
          <w:rFonts w:ascii="仿宋" w:hAnsi="仿宋" w:eastAsia="仿宋"/>
          <w:sz w:val="28"/>
          <w:szCs w:val="28"/>
        </w:rPr>
      </w:pPr>
      <w:r>
        <w:rPr>
          <w:rFonts w:hint="eastAsia" w:ascii="仿宋" w:hAnsi="仿宋" w:eastAsia="仿宋" w:cs="仿宋"/>
          <w:sz w:val="28"/>
          <w:szCs w:val="28"/>
        </w:rPr>
        <w:t>加大企业深度参与专业人才培养的力度，共同确定专业人才培养的规格，共同构建课程体系、确定教学内容、实施培养过程、评价培养质量。</w:t>
      </w:r>
    </w:p>
    <w:p>
      <w:pPr>
        <w:adjustRightInd w:val="0"/>
        <w:snapToGrid w:val="0"/>
        <w:ind w:left="980"/>
        <w:rPr>
          <w:rFonts w:ascii="仿宋" w:hAnsi="仿宋" w:eastAsia="仿宋"/>
          <w:sz w:val="28"/>
          <w:szCs w:val="28"/>
        </w:rPr>
      </w:pPr>
    </w:p>
    <w:p>
      <w:pPr>
        <w:adjustRightInd w:val="0"/>
        <w:snapToGrid w:val="0"/>
        <w:rPr>
          <w:rFonts w:ascii="仿宋" w:hAnsi="仿宋" w:eastAsia="仿宋"/>
          <w:b/>
          <w:bCs/>
          <w:sz w:val="28"/>
          <w:szCs w:val="28"/>
        </w:rPr>
      </w:pPr>
      <w:r>
        <w:rPr>
          <w:rFonts w:hint="eastAsia" w:ascii="仿宋" w:hAnsi="仿宋" w:eastAsia="仿宋" w:cs="仿宋"/>
          <w:b/>
          <w:bCs/>
          <w:sz w:val="28"/>
          <w:szCs w:val="28"/>
        </w:rPr>
        <w:t>二、基本要求</w:t>
      </w:r>
    </w:p>
    <w:p>
      <w:pPr>
        <w:adjustRightInd w:val="0"/>
        <w:snapToGrid w:val="0"/>
        <w:ind w:firstLine="562" w:firstLineChars="200"/>
        <w:rPr>
          <w:rFonts w:ascii="仿宋" w:hAnsi="仿宋" w:eastAsia="仿宋"/>
          <w:b/>
          <w:bCs/>
          <w:sz w:val="28"/>
          <w:szCs w:val="28"/>
        </w:rPr>
      </w:pPr>
      <w:r>
        <w:rPr>
          <w:rFonts w:ascii="仿宋" w:hAnsi="仿宋" w:eastAsia="仿宋" w:cs="仿宋"/>
          <w:b/>
          <w:bCs/>
          <w:sz w:val="28"/>
          <w:szCs w:val="28"/>
        </w:rPr>
        <w:t>(</w:t>
      </w:r>
      <w:r>
        <w:rPr>
          <w:rFonts w:hint="eastAsia" w:ascii="仿宋" w:hAnsi="仿宋" w:eastAsia="仿宋" w:cs="仿宋"/>
          <w:b/>
          <w:bCs/>
          <w:sz w:val="28"/>
          <w:szCs w:val="28"/>
        </w:rPr>
        <w:t>一</w:t>
      </w:r>
      <w:r>
        <w:rPr>
          <w:rFonts w:ascii="仿宋" w:hAnsi="仿宋" w:eastAsia="仿宋" w:cs="仿宋"/>
          <w:b/>
          <w:bCs/>
          <w:sz w:val="28"/>
          <w:szCs w:val="28"/>
        </w:rPr>
        <w:t>)</w:t>
      </w:r>
      <w:r>
        <w:rPr>
          <w:rFonts w:hint="eastAsia" w:ascii="仿宋" w:hAnsi="仿宋" w:eastAsia="仿宋" w:cs="仿宋"/>
          <w:b/>
          <w:bCs/>
          <w:sz w:val="28"/>
          <w:szCs w:val="28"/>
        </w:rPr>
        <w:t>总体要求</w:t>
      </w:r>
    </w:p>
    <w:p>
      <w:pPr>
        <w:adjustRightInd w:val="0"/>
        <w:snapToGrid w:val="0"/>
        <w:ind w:left="142" w:firstLine="566" w:firstLineChars="202"/>
        <w:rPr>
          <w:rFonts w:ascii="仿宋" w:hAnsi="仿宋" w:eastAsia="仿宋"/>
          <w:sz w:val="28"/>
          <w:szCs w:val="28"/>
        </w:rPr>
      </w:pPr>
      <w:r>
        <w:rPr>
          <w:rFonts w:ascii="仿宋" w:hAnsi="仿宋" w:eastAsia="仿宋" w:cs="仿宋"/>
          <w:sz w:val="28"/>
          <w:szCs w:val="28"/>
        </w:rPr>
        <w:t>1</w:t>
      </w:r>
      <w:r>
        <w:rPr>
          <w:rFonts w:hint="eastAsia" w:ascii="仿宋" w:hAnsi="仿宋" w:eastAsia="仿宋" w:cs="仿宋"/>
          <w:sz w:val="28"/>
          <w:szCs w:val="28"/>
        </w:rPr>
        <w:t>、各专业要制定专业层面的预期学习产出，在基于对教师、学生、校友、用人单位等利益相关者的调查基础上，结合本专业国内外发展趋势和学校定位，论证本专业的使命、愿景、目标及实施这些目标所需要的知识、能力和素质。</w:t>
      </w:r>
    </w:p>
    <w:p>
      <w:pPr>
        <w:adjustRightInd w:val="0"/>
        <w:snapToGrid w:val="0"/>
        <w:ind w:firstLine="435"/>
        <w:rPr>
          <w:rFonts w:ascii="仿宋" w:hAnsi="仿宋" w:eastAsia="仿宋"/>
          <w:sz w:val="28"/>
          <w:szCs w:val="28"/>
        </w:rPr>
      </w:pPr>
      <w:r>
        <w:rPr>
          <w:rFonts w:ascii="仿宋" w:hAnsi="仿宋" w:eastAsia="仿宋" w:cs="仿宋"/>
          <w:sz w:val="28"/>
          <w:szCs w:val="28"/>
        </w:rPr>
        <w:t>2</w:t>
      </w:r>
      <w:r>
        <w:rPr>
          <w:rFonts w:hint="eastAsia" w:ascii="仿宋" w:hAnsi="仿宋" w:eastAsia="仿宋" w:cs="仿宋"/>
          <w:sz w:val="28"/>
          <w:szCs w:val="28"/>
        </w:rPr>
        <w:t>、广泛吸纳行业专家以及专业教师共同参与人才培养方案修订与论证。每个专业参加人才培养方案制定的行业专家应不少于</w:t>
      </w:r>
      <w:r>
        <w:rPr>
          <w:rFonts w:ascii="仿宋" w:hAnsi="仿宋" w:eastAsia="仿宋" w:cs="仿宋"/>
          <w:sz w:val="28"/>
          <w:szCs w:val="28"/>
        </w:rPr>
        <w:t>5</w:t>
      </w:r>
      <w:r>
        <w:rPr>
          <w:rFonts w:hint="eastAsia" w:ascii="仿宋" w:hAnsi="仿宋" w:eastAsia="仿宋" w:cs="仿宋"/>
          <w:sz w:val="28"/>
          <w:szCs w:val="28"/>
        </w:rPr>
        <w:t>人。</w:t>
      </w:r>
    </w:p>
    <w:p>
      <w:pPr>
        <w:adjustRightInd w:val="0"/>
        <w:snapToGrid w:val="0"/>
        <w:ind w:firstLine="435"/>
        <w:rPr>
          <w:rFonts w:ascii="仿宋" w:hAnsi="仿宋" w:eastAsia="仿宋"/>
          <w:sz w:val="28"/>
          <w:szCs w:val="28"/>
        </w:rPr>
      </w:pPr>
      <w:r>
        <w:rPr>
          <w:rFonts w:ascii="仿宋" w:hAnsi="仿宋" w:eastAsia="仿宋" w:cs="仿宋"/>
          <w:sz w:val="28"/>
          <w:szCs w:val="28"/>
        </w:rPr>
        <w:t>3</w:t>
      </w:r>
      <w:r>
        <w:rPr>
          <w:rFonts w:hint="eastAsia" w:ascii="仿宋" w:hAnsi="仿宋" w:eastAsia="仿宋" w:cs="仿宋"/>
          <w:sz w:val="28"/>
          <w:szCs w:val="28"/>
        </w:rPr>
        <w:t>、理工科专业的培养方案以工程教育专业认证标准为基础，其他专业的培养方案也应尽量引入相关专业认证标准或行业标准。</w:t>
      </w:r>
    </w:p>
    <w:p>
      <w:pPr>
        <w:adjustRightInd w:val="0"/>
        <w:snapToGrid w:val="0"/>
        <w:ind w:firstLine="435"/>
        <w:rPr>
          <w:rFonts w:ascii="仿宋" w:hAnsi="仿宋" w:eastAsia="仿宋"/>
          <w:b/>
          <w:bCs/>
          <w:color w:val="FF6600"/>
          <w:sz w:val="28"/>
          <w:szCs w:val="28"/>
        </w:rPr>
      </w:pPr>
      <w:r>
        <w:rPr>
          <w:rFonts w:ascii="仿宋" w:hAnsi="仿宋" w:eastAsia="仿宋" w:cs="仿宋"/>
          <w:sz w:val="28"/>
          <w:szCs w:val="28"/>
        </w:rPr>
        <w:t>4</w:t>
      </w:r>
      <w:r>
        <w:rPr>
          <w:rFonts w:hint="eastAsia" w:ascii="仿宋" w:hAnsi="仿宋" w:eastAsia="仿宋" w:cs="仿宋"/>
          <w:sz w:val="28"/>
          <w:szCs w:val="28"/>
        </w:rPr>
        <w:t>、各专业提交人才培养方案的同时，要提交一份关于人才培养方案修订报告，说明修订人才培养方案的依据和培养目标与课程设置的对应关系</w:t>
      </w:r>
      <w:r>
        <w:rPr>
          <w:rFonts w:hint="eastAsia" w:ascii="仿宋" w:hAnsi="仿宋" w:eastAsia="仿宋" w:cs="仿宋"/>
          <w:b/>
          <w:bCs/>
          <w:color w:val="FF6600"/>
          <w:sz w:val="28"/>
          <w:szCs w:val="28"/>
        </w:rPr>
        <w:t>（报告内容及格式见附件）。</w:t>
      </w:r>
    </w:p>
    <w:p>
      <w:pPr>
        <w:widowControl/>
        <w:snapToGrid w:val="0"/>
        <w:ind w:firstLine="425"/>
        <w:jc w:val="left"/>
        <w:rPr>
          <w:rFonts w:ascii="仿宋" w:hAnsi="仿宋" w:eastAsia="仿宋"/>
          <w:kern w:val="0"/>
          <w:sz w:val="28"/>
          <w:szCs w:val="28"/>
        </w:rPr>
      </w:pPr>
      <w:r>
        <w:rPr>
          <w:rFonts w:ascii="仿宋" w:hAnsi="仿宋" w:eastAsia="仿宋" w:cs="仿宋"/>
          <w:kern w:val="0"/>
          <w:sz w:val="28"/>
          <w:szCs w:val="28"/>
        </w:rPr>
        <w:t>5</w:t>
      </w:r>
      <w:r>
        <w:rPr>
          <w:rFonts w:hint="eastAsia" w:ascii="仿宋" w:hAnsi="仿宋" w:eastAsia="仿宋" w:cs="仿宋"/>
          <w:kern w:val="0"/>
          <w:sz w:val="28"/>
          <w:szCs w:val="28"/>
        </w:rPr>
        <w:t>、专业的人才培养目标和知识、技能、素质结构表述</w:t>
      </w:r>
      <w:r>
        <w:rPr>
          <w:rFonts w:hint="eastAsia" w:ascii="仿宋" w:hAnsi="仿宋" w:eastAsia="仿宋" w:cs="仿宋"/>
          <w:sz w:val="28"/>
          <w:szCs w:val="28"/>
        </w:rPr>
        <w:t>要具体、清晰、精炼。</w:t>
      </w:r>
    </w:p>
    <w:p>
      <w:pPr>
        <w:adjustRightInd w:val="0"/>
        <w:snapToGrid w:val="0"/>
        <w:ind w:firstLine="435"/>
        <w:rPr>
          <w:rFonts w:ascii="仿宋" w:hAnsi="仿宋" w:eastAsia="仿宋"/>
          <w:sz w:val="28"/>
          <w:szCs w:val="28"/>
        </w:rPr>
      </w:pPr>
    </w:p>
    <w:p>
      <w:pPr>
        <w:adjustRightInd w:val="0"/>
        <w:snapToGrid w:val="0"/>
        <w:ind w:firstLine="562" w:firstLineChars="200"/>
        <w:rPr>
          <w:rFonts w:ascii="仿宋" w:hAnsi="仿宋" w:eastAsia="仿宋"/>
          <w:b/>
          <w:bCs/>
          <w:sz w:val="28"/>
          <w:szCs w:val="28"/>
        </w:rPr>
      </w:pPr>
      <w:r>
        <w:rPr>
          <w:rFonts w:hint="eastAsia" w:ascii="仿宋" w:hAnsi="仿宋" w:eastAsia="仿宋" w:cs="仿宋"/>
          <w:b/>
          <w:bCs/>
          <w:sz w:val="28"/>
          <w:szCs w:val="28"/>
        </w:rPr>
        <w:t>（二）课程体系设计要求</w:t>
      </w:r>
    </w:p>
    <w:p>
      <w:pPr>
        <w:adjustRightInd w:val="0"/>
        <w:snapToGrid w:val="0"/>
        <w:ind w:firstLine="574" w:firstLineChars="205"/>
        <w:rPr>
          <w:rFonts w:ascii="仿宋" w:hAnsi="仿宋" w:eastAsia="仿宋"/>
          <w:sz w:val="28"/>
          <w:szCs w:val="28"/>
        </w:rPr>
      </w:pPr>
      <w:r>
        <w:rPr>
          <w:rFonts w:hint="eastAsia" w:ascii="仿宋" w:hAnsi="仿宋" w:eastAsia="仿宋" w:cs="仿宋"/>
          <w:sz w:val="28"/>
          <w:szCs w:val="28"/>
        </w:rPr>
        <w:t>按照“通识课程</w:t>
      </w:r>
      <w:r>
        <w:rPr>
          <w:rFonts w:ascii="仿宋" w:hAnsi="仿宋" w:eastAsia="仿宋" w:cs="仿宋"/>
          <w:sz w:val="28"/>
          <w:szCs w:val="28"/>
        </w:rPr>
        <w:t>+</w:t>
      </w:r>
      <w:r>
        <w:rPr>
          <w:rFonts w:hint="eastAsia" w:ascii="仿宋" w:hAnsi="仿宋" w:eastAsia="仿宋" w:cs="仿宋"/>
          <w:sz w:val="28"/>
          <w:szCs w:val="28"/>
        </w:rPr>
        <w:t>学科基础课程</w:t>
      </w:r>
      <w:r>
        <w:rPr>
          <w:rFonts w:ascii="仿宋" w:hAnsi="仿宋" w:eastAsia="仿宋" w:cs="仿宋"/>
          <w:sz w:val="28"/>
          <w:szCs w:val="28"/>
        </w:rPr>
        <w:t>+</w:t>
      </w:r>
      <w:r>
        <w:rPr>
          <w:rFonts w:hint="eastAsia" w:ascii="仿宋" w:hAnsi="仿宋" w:eastAsia="仿宋" w:cs="仿宋"/>
          <w:sz w:val="28"/>
          <w:szCs w:val="28"/>
        </w:rPr>
        <w:t>专业课程</w:t>
      </w:r>
      <w:r>
        <w:rPr>
          <w:rFonts w:ascii="仿宋" w:hAnsi="仿宋" w:eastAsia="仿宋" w:cs="仿宋"/>
          <w:sz w:val="28"/>
          <w:szCs w:val="28"/>
        </w:rPr>
        <w:t>+</w:t>
      </w:r>
      <w:r>
        <w:rPr>
          <w:rFonts w:hint="eastAsia" w:ascii="仿宋" w:hAnsi="仿宋" w:eastAsia="仿宋" w:cs="仿宋"/>
          <w:sz w:val="28"/>
          <w:szCs w:val="28"/>
        </w:rPr>
        <w:t>实践课程”的方式构建课程体系。</w:t>
      </w:r>
    </w:p>
    <w:p>
      <w:pPr>
        <w:adjustRightInd w:val="0"/>
        <w:snapToGrid w:val="0"/>
        <w:ind w:firstLine="437"/>
        <w:rPr>
          <w:rFonts w:ascii="仿宋" w:hAnsi="仿宋" w:eastAsia="仿宋"/>
          <w:b/>
          <w:bCs/>
          <w:sz w:val="28"/>
          <w:szCs w:val="28"/>
        </w:rPr>
      </w:pPr>
      <w:r>
        <w:rPr>
          <w:rFonts w:ascii="仿宋" w:hAnsi="仿宋" w:eastAsia="仿宋" w:cs="仿宋"/>
          <w:b/>
          <w:bCs/>
          <w:sz w:val="28"/>
          <w:szCs w:val="28"/>
        </w:rPr>
        <w:t>1</w:t>
      </w:r>
      <w:r>
        <w:rPr>
          <w:rFonts w:hint="eastAsia" w:ascii="仿宋" w:hAnsi="仿宋" w:eastAsia="仿宋" w:cs="仿宋"/>
          <w:b/>
          <w:bCs/>
          <w:sz w:val="28"/>
          <w:szCs w:val="28"/>
        </w:rPr>
        <w:t>、理论教学</w:t>
      </w:r>
    </w:p>
    <w:p>
      <w:pPr>
        <w:adjustRightInd w:val="0"/>
        <w:snapToGrid w:val="0"/>
        <w:ind w:firstLine="574" w:firstLineChars="205"/>
        <w:rPr>
          <w:rFonts w:ascii="仿宋" w:hAnsi="仿宋" w:eastAsia="仿宋" w:cs="仿宋"/>
          <w:sz w:val="28"/>
          <w:szCs w:val="28"/>
        </w:rPr>
      </w:pPr>
      <w:r>
        <w:rPr>
          <w:rFonts w:hint="eastAsia" w:ascii="仿宋" w:hAnsi="仿宋" w:eastAsia="仿宋" w:cs="仿宋"/>
          <w:sz w:val="28"/>
          <w:szCs w:val="28"/>
        </w:rPr>
        <w:t>在保证专业核心课程</w:t>
      </w:r>
      <w:r>
        <w:rPr>
          <w:rFonts w:ascii="仿宋" w:hAnsi="仿宋" w:eastAsia="仿宋" w:cs="仿宋"/>
          <w:sz w:val="28"/>
          <w:szCs w:val="28"/>
        </w:rPr>
        <w:t>45</w:t>
      </w:r>
      <w:r>
        <w:rPr>
          <w:rFonts w:hint="eastAsia" w:ascii="仿宋" w:hAnsi="仿宋" w:eastAsia="仿宋" w:cs="仿宋"/>
          <w:sz w:val="28"/>
          <w:szCs w:val="28"/>
        </w:rPr>
        <w:t>学分的基础上，尽量减少必修课程，增大选修课程的比例，选修课程（含专业方向课、专业选修课和通识选修课）占课内总学时比例不能低于</w:t>
      </w:r>
      <w:r>
        <w:rPr>
          <w:rFonts w:ascii="仿宋" w:hAnsi="仿宋" w:eastAsia="仿宋" w:cs="仿宋"/>
          <w:sz w:val="28"/>
          <w:szCs w:val="28"/>
        </w:rPr>
        <w:t>20%</w:t>
      </w:r>
      <w:r>
        <w:rPr>
          <w:rFonts w:hint="eastAsia" w:ascii="仿宋" w:hAnsi="仿宋" w:eastAsia="仿宋" w:cs="仿宋"/>
          <w:sz w:val="28"/>
          <w:szCs w:val="28"/>
        </w:rPr>
        <w:t>。建议院系内不同专业间的选修课可实现院内公选，打通不同专业之间的知识交流。</w:t>
      </w:r>
      <w:r>
        <w:rPr>
          <w:rFonts w:ascii="仿宋" w:hAnsi="仿宋" w:eastAsia="仿宋" w:cs="仿宋"/>
          <w:sz w:val="28"/>
          <w:szCs w:val="28"/>
        </w:rPr>
        <w:t xml:space="preserve"> </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w:t>
      </w:r>
      <w:r>
        <w:rPr>
          <w:rFonts w:ascii="仿宋" w:hAnsi="仿宋" w:eastAsia="仿宋" w:cs="仿宋"/>
          <w:sz w:val="28"/>
          <w:szCs w:val="28"/>
        </w:rPr>
        <w:t>1</w:t>
      </w:r>
      <w:r>
        <w:rPr>
          <w:rFonts w:hint="eastAsia" w:ascii="仿宋" w:hAnsi="仿宋" w:eastAsia="仿宋" w:cs="仿宋"/>
          <w:sz w:val="28"/>
          <w:szCs w:val="28"/>
        </w:rPr>
        <w:t>）通识类课程</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通识课程由公共必修课程和公共选修课程两部分组成。通识课程的教学计划由教务处会同相关教学单位统一制订。通识课程的设置与选择应以利于全面培养和提升学生的主流价值观、优质人文素养和丰富知识面为标准。</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w:t>
      </w:r>
      <w:r>
        <w:rPr>
          <w:rFonts w:ascii="仿宋" w:hAnsi="仿宋" w:eastAsia="仿宋" w:cs="仿宋"/>
          <w:sz w:val="28"/>
          <w:szCs w:val="28"/>
        </w:rPr>
        <w:t>2</w:t>
      </w:r>
      <w:r>
        <w:rPr>
          <w:rFonts w:hint="eastAsia" w:ascii="仿宋" w:hAnsi="仿宋" w:eastAsia="仿宋" w:cs="仿宋"/>
          <w:sz w:val="28"/>
          <w:szCs w:val="28"/>
        </w:rPr>
        <w:t>）专业类课程</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①学科基础课程</w:t>
      </w:r>
    </w:p>
    <w:p>
      <w:pPr>
        <w:adjustRightInd w:val="0"/>
        <w:snapToGrid w:val="0"/>
        <w:ind w:left="2" w:firstLine="560" w:firstLineChars="200"/>
        <w:rPr>
          <w:rFonts w:ascii="仿宋" w:hAnsi="仿宋" w:eastAsia="仿宋"/>
          <w:sz w:val="28"/>
          <w:szCs w:val="28"/>
        </w:rPr>
      </w:pPr>
      <w:r>
        <w:rPr>
          <w:rFonts w:hint="eastAsia" w:ascii="仿宋" w:hAnsi="仿宋" w:eastAsia="仿宋" w:cs="仿宋"/>
          <w:sz w:val="28"/>
          <w:szCs w:val="28"/>
        </w:rPr>
        <w:t>院系内同一个一级学科下不同专业的学科基础课程应基本统一。各院系根据实际情况，对一些重要的学科基础课程可按需要设置足够的课时，以帮助学生加强基础训练。</w:t>
      </w:r>
    </w:p>
    <w:p>
      <w:pPr>
        <w:adjustRightInd w:val="0"/>
        <w:snapToGrid w:val="0"/>
        <w:ind w:left="1" w:firstLine="560" w:firstLineChars="200"/>
        <w:rPr>
          <w:rFonts w:ascii="仿宋" w:hAnsi="仿宋" w:eastAsia="仿宋"/>
          <w:sz w:val="28"/>
          <w:szCs w:val="28"/>
        </w:rPr>
      </w:pPr>
      <w:r>
        <w:rPr>
          <w:rFonts w:hint="eastAsia" w:ascii="仿宋" w:hAnsi="仿宋" w:eastAsia="仿宋" w:cs="仿宋"/>
          <w:sz w:val="28"/>
          <w:szCs w:val="28"/>
        </w:rPr>
        <w:t>②专业必修课程</w:t>
      </w:r>
    </w:p>
    <w:p>
      <w:pPr>
        <w:adjustRightInd w:val="0"/>
        <w:snapToGrid w:val="0"/>
        <w:ind w:left="1" w:firstLine="560" w:firstLineChars="200"/>
        <w:rPr>
          <w:rFonts w:ascii="仿宋" w:hAnsi="仿宋" w:eastAsia="仿宋"/>
          <w:sz w:val="28"/>
          <w:szCs w:val="28"/>
        </w:rPr>
      </w:pPr>
      <w:r>
        <w:rPr>
          <w:rFonts w:hint="eastAsia" w:ascii="仿宋" w:hAnsi="仿宋" w:eastAsia="仿宋" w:cs="仿宋"/>
          <w:sz w:val="28"/>
          <w:szCs w:val="28"/>
        </w:rPr>
        <w:t>面向专业的知识与技能课程，作为专业知识结构的必要组成部分。专业必修课程须重视各课程之间的前后逻辑联系，明确对专业能力素质的达成度。</w:t>
      </w:r>
    </w:p>
    <w:p>
      <w:pPr>
        <w:adjustRightInd w:val="0"/>
        <w:snapToGrid w:val="0"/>
        <w:ind w:left="1" w:firstLine="560" w:firstLineChars="200"/>
        <w:rPr>
          <w:rFonts w:ascii="仿宋" w:hAnsi="仿宋" w:eastAsia="仿宋"/>
          <w:sz w:val="28"/>
          <w:szCs w:val="28"/>
        </w:rPr>
      </w:pPr>
      <w:r>
        <w:rPr>
          <w:rFonts w:hint="eastAsia" w:ascii="仿宋" w:hAnsi="仿宋" w:eastAsia="仿宋" w:cs="仿宋"/>
          <w:sz w:val="28"/>
          <w:szCs w:val="28"/>
        </w:rPr>
        <w:t>③专业方向课程</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建议各专业根据社会发展和学生成长的实际需要，灵活设置</w:t>
      </w: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
          <w:sz w:val="28"/>
          <w:szCs w:val="28"/>
        </w:rPr>
        <w:t>3</w:t>
      </w:r>
      <w:r>
        <w:rPr>
          <w:rFonts w:hint="eastAsia" w:ascii="仿宋" w:hAnsi="仿宋" w:eastAsia="仿宋" w:cs="仿宋"/>
          <w:sz w:val="28"/>
          <w:szCs w:val="28"/>
        </w:rPr>
        <w:t>个专业方向模块课程供学生选择修习。每个方向开设的课程应具有明确的方向性，瞄准就业方向，体现我校及本专业的办学特色。（在普通高校本科专业目录中已经作为专业单独设置的名称不得作为专业方向名称。）同一专业的不同方向课程学分数应相同。</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④专业选修课程</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专业选修课程设置以开发学生专业兴趣，拓展专业能力范围为导向，应尽可能多地为学生提供充足的选修课程，规定的专业选修学分与提供的专业选修课程学分比例不小于</w:t>
      </w:r>
      <w:r>
        <w:rPr>
          <w:rFonts w:ascii="仿宋" w:hAnsi="仿宋" w:eastAsia="仿宋" w:cs="仿宋"/>
          <w:sz w:val="28"/>
          <w:szCs w:val="28"/>
        </w:rPr>
        <w:t>1</w:t>
      </w:r>
      <w:r>
        <w:rPr>
          <w:rFonts w:hint="eastAsia" w:ascii="仿宋" w:hAnsi="仿宋" w:eastAsia="仿宋" w:cs="仿宋"/>
          <w:sz w:val="28"/>
          <w:szCs w:val="28"/>
        </w:rPr>
        <w:t>：</w:t>
      </w:r>
      <w:r>
        <w:rPr>
          <w:rFonts w:ascii="仿宋" w:hAnsi="仿宋" w:eastAsia="仿宋" w:cs="仿宋"/>
          <w:sz w:val="28"/>
          <w:szCs w:val="28"/>
        </w:rPr>
        <w:t>1.5</w:t>
      </w:r>
      <w:r>
        <w:rPr>
          <w:rFonts w:hint="eastAsia" w:ascii="仿宋" w:hAnsi="仿宋" w:eastAsia="仿宋" w:cs="仿宋"/>
          <w:sz w:val="28"/>
          <w:szCs w:val="28"/>
        </w:rPr>
        <w:t>。</w:t>
      </w:r>
    </w:p>
    <w:p>
      <w:pPr>
        <w:adjustRightInd w:val="0"/>
        <w:snapToGrid w:val="0"/>
        <w:ind w:firstLine="435"/>
        <w:rPr>
          <w:rFonts w:ascii="仿宋" w:hAnsi="仿宋" w:eastAsia="仿宋"/>
          <w:sz w:val="28"/>
          <w:szCs w:val="28"/>
        </w:rPr>
      </w:pPr>
      <w:r>
        <w:rPr>
          <w:rFonts w:hint="eastAsia" w:ascii="仿宋" w:hAnsi="仿宋" w:eastAsia="仿宋" w:cs="仿宋"/>
          <w:sz w:val="28"/>
          <w:szCs w:val="28"/>
        </w:rPr>
        <w:t>（３）专业核心课程</w:t>
      </w:r>
    </w:p>
    <w:p>
      <w:pPr>
        <w:adjustRightInd w:val="0"/>
        <w:snapToGrid w:val="0"/>
        <w:ind w:firstLine="435"/>
        <w:rPr>
          <w:rFonts w:ascii="仿宋" w:hAnsi="仿宋" w:eastAsia="仿宋"/>
          <w:sz w:val="28"/>
          <w:szCs w:val="28"/>
        </w:rPr>
      </w:pPr>
      <w:r>
        <w:rPr>
          <w:rFonts w:hint="eastAsia" w:ascii="仿宋" w:hAnsi="仿宋" w:eastAsia="仿宋" w:cs="仿宋"/>
          <w:sz w:val="28"/>
          <w:szCs w:val="28"/>
        </w:rPr>
        <w:t>是在人才培养中为实现专业培养目标，对学生掌握专业核心知识和培养专业核心能力，对提高该专业核心竞争能力起决定作用的课程。除专业必修课程之外，其中还可以包括一部分学科基础课和公共必修课。各专业根据人才培养规格实现的需要和学生成果导向的需要进行确定。基本按照《普通高等学校本科专业目录和专业介绍（</w:t>
      </w:r>
      <w:r>
        <w:rPr>
          <w:rFonts w:ascii="仿宋" w:hAnsi="仿宋" w:eastAsia="仿宋" w:cs="仿宋"/>
          <w:sz w:val="28"/>
          <w:szCs w:val="28"/>
        </w:rPr>
        <w:t>2012</w:t>
      </w:r>
      <w:r>
        <w:rPr>
          <w:rFonts w:hint="eastAsia" w:ascii="仿宋" w:hAnsi="仿宋" w:eastAsia="仿宋" w:cs="仿宋"/>
          <w:sz w:val="28"/>
          <w:szCs w:val="28"/>
        </w:rPr>
        <w:t>年）》，在培养方案中规范设置专业核心课程。专业核心课程总学分一般在</w:t>
      </w:r>
      <w:r>
        <w:rPr>
          <w:rFonts w:ascii="仿宋" w:hAnsi="仿宋" w:eastAsia="仿宋" w:cs="仿宋"/>
          <w:sz w:val="28"/>
          <w:szCs w:val="28"/>
        </w:rPr>
        <w:t>45</w:t>
      </w:r>
      <w:r>
        <w:rPr>
          <w:rFonts w:hint="eastAsia" w:ascii="仿宋" w:hAnsi="仿宋" w:eastAsia="仿宋" w:cs="仿宋"/>
          <w:sz w:val="28"/>
          <w:szCs w:val="28"/>
        </w:rPr>
        <w:t>学分左右。</w:t>
      </w:r>
    </w:p>
    <w:p>
      <w:pPr>
        <w:adjustRightInd w:val="0"/>
        <w:snapToGrid w:val="0"/>
        <w:ind w:firstLine="437"/>
        <w:rPr>
          <w:rFonts w:ascii="仿宋" w:hAnsi="仿宋" w:eastAsia="仿宋"/>
          <w:b/>
          <w:bCs/>
          <w:sz w:val="28"/>
          <w:szCs w:val="28"/>
        </w:rPr>
      </w:pPr>
      <w:r>
        <w:rPr>
          <w:rFonts w:ascii="仿宋" w:hAnsi="仿宋" w:eastAsia="仿宋" w:cs="仿宋"/>
          <w:b/>
          <w:bCs/>
          <w:sz w:val="28"/>
          <w:szCs w:val="28"/>
        </w:rPr>
        <w:t>2</w:t>
      </w:r>
      <w:r>
        <w:rPr>
          <w:rFonts w:hint="eastAsia" w:ascii="仿宋" w:hAnsi="仿宋" w:eastAsia="仿宋" w:cs="仿宋"/>
          <w:b/>
          <w:bCs/>
          <w:sz w:val="28"/>
          <w:szCs w:val="28"/>
        </w:rPr>
        <w:t>、实践教学</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实践教学课程体系要完整体现能力培养要求，层次清晰，确保实效。理工类专业实践教学学分应不少于总学分的</w:t>
      </w:r>
      <w:r>
        <w:rPr>
          <w:rFonts w:ascii="仿宋" w:hAnsi="仿宋" w:eastAsia="仿宋" w:cs="仿宋"/>
          <w:sz w:val="28"/>
          <w:szCs w:val="28"/>
        </w:rPr>
        <w:t>30%</w:t>
      </w:r>
      <w:r>
        <w:rPr>
          <w:rFonts w:hint="eastAsia" w:ascii="仿宋" w:hAnsi="仿宋" w:eastAsia="仿宋" w:cs="仿宋"/>
          <w:sz w:val="28"/>
          <w:szCs w:val="28"/>
        </w:rPr>
        <w:t>，非理工类专业实践教学学分应不少于总学分的</w:t>
      </w:r>
      <w:r>
        <w:rPr>
          <w:rFonts w:ascii="仿宋" w:hAnsi="仿宋" w:eastAsia="仿宋" w:cs="仿宋"/>
          <w:sz w:val="28"/>
          <w:szCs w:val="28"/>
        </w:rPr>
        <w:t>20%</w:t>
      </w:r>
      <w:r>
        <w:rPr>
          <w:rFonts w:hint="eastAsia" w:ascii="仿宋" w:hAnsi="仿宋" w:eastAsia="仿宋" w:cs="仿宋"/>
          <w:sz w:val="28"/>
          <w:szCs w:val="28"/>
        </w:rPr>
        <w:t>。应提高综合性、设计性实验的比例，按照课程实验、专项设计、综合实训等模块构建实践能力培养体系。</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各专业在第</w:t>
      </w:r>
      <w:r>
        <w:rPr>
          <w:rFonts w:ascii="仿宋" w:hAnsi="仿宋" w:eastAsia="仿宋" w:cs="仿宋"/>
          <w:sz w:val="28"/>
          <w:szCs w:val="28"/>
        </w:rPr>
        <w:t>4</w:t>
      </w:r>
      <w:r>
        <w:rPr>
          <w:rFonts w:hint="eastAsia" w:ascii="仿宋" w:hAnsi="仿宋" w:eastAsia="仿宋" w:cs="仿宋"/>
          <w:sz w:val="28"/>
          <w:szCs w:val="28"/>
        </w:rPr>
        <w:t>至第</w:t>
      </w:r>
      <w:r>
        <w:rPr>
          <w:rFonts w:ascii="仿宋" w:hAnsi="仿宋" w:eastAsia="仿宋" w:cs="仿宋"/>
          <w:sz w:val="28"/>
          <w:szCs w:val="28"/>
        </w:rPr>
        <w:t>7</w:t>
      </w:r>
      <w:r>
        <w:rPr>
          <w:rFonts w:hint="eastAsia" w:ascii="仿宋" w:hAnsi="仿宋" w:eastAsia="仿宋" w:cs="仿宋"/>
          <w:sz w:val="28"/>
          <w:szCs w:val="28"/>
        </w:rPr>
        <w:t>学期中的每个学期至少设置一门面向实际问题，以综合实践训练为目的的项目性课程，开展项目引导式教学（此类课程名称前请加△以示区别）。</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鼓励学生积极参与科研，参加各类学科竞赛与科技创作活动，学生在校期间至少应获得</w:t>
      </w:r>
      <w:r>
        <w:rPr>
          <w:rFonts w:ascii="仿宋" w:hAnsi="仿宋" w:eastAsia="仿宋" w:cs="仿宋"/>
          <w:sz w:val="28"/>
          <w:szCs w:val="28"/>
        </w:rPr>
        <w:t>5</w:t>
      </w:r>
      <w:r>
        <w:rPr>
          <w:rFonts w:hint="eastAsia" w:ascii="仿宋" w:hAnsi="仿宋" w:eastAsia="仿宋" w:cs="仿宋"/>
          <w:sz w:val="28"/>
          <w:szCs w:val="28"/>
        </w:rPr>
        <w:t>个课外创新创业学分。</w:t>
      </w:r>
    </w:p>
    <w:p>
      <w:pPr>
        <w:adjustRightInd w:val="0"/>
        <w:snapToGrid w:val="0"/>
        <w:ind w:firstLine="437"/>
        <w:rPr>
          <w:rFonts w:ascii="仿宋" w:hAnsi="仿宋" w:eastAsia="仿宋"/>
          <w:b/>
          <w:bCs/>
          <w:sz w:val="28"/>
          <w:szCs w:val="28"/>
        </w:rPr>
      </w:pPr>
      <w:r>
        <w:rPr>
          <w:rFonts w:ascii="仿宋" w:hAnsi="仿宋" w:eastAsia="仿宋" w:cs="仿宋"/>
          <w:b/>
          <w:bCs/>
          <w:sz w:val="28"/>
          <w:szCs w:val="28"/>
        </w:rPr>
        <w:t>3</w:t>
      </w:r>
      <w:r>
        <w:rPr>
          <w:rFonts w:hint="eastAsia" w:ascii="仿宋" w:hAnsi="仿宋" w:eastAsia="仿宋" w:cs="仿宋"/>
          <w:b/>
          <w:bCs/>
          <w:sz w:val="28"/>
          <w:szCs w:val="28"/>
        </w:rPr>
        <w:t>、推进主辅修制</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各院系应积极开设辅修专业，供不同专业学生跨专业选修，促进复合型人才培养。相关学院（文学与传媒学院、法律与社会工作学院、经济与管理学院等）各专业人才培养方案中要制定相应的辅修专业计划。参与辅修的学生比例将成为院系教学状态和专业的评价指标。</w:t>
      </w:r>
    </w:p>
    <w:p>
      <w:pPr>
        <w:adjustRightInd w:val="0"/>
        <w:snapToGrid w:val="0"/>
        <w:ind w:firstLine="437"/>
        <w:rPr>
          <w:rFonts w:ascii="仿宋" w:hAnsi="仿宋" w:eastAsia="仿宋"/>
          <w:b/>
          <w:bCs/>
          <w:sz w:val="28"/>
          <w:szCs w:val="28"/>
        </w:rPr>
      </w:pPr>
      <w:r>
        <w:rPr>
          <w:rFonts w:ascii="仿宋" w:hAnsi="仿宋" w:eastAsia="仿宋" w:cs="仿宋"/>
          <w:b/>
          <w:bCs/>
          <w:sz w:val="28"/>
          <w:szCs w:val="28"/>
        </w:rPr>
        <w:t>4</w:t>
      </w:r>
      <w:r>
        <w:rPr>
          <w:rFonts w:hint="eastAsia" w:ascii="仿宋" w:hAnsi="仿宋" w:eastAsia="仿宋" w:cs="仿宋"/>
          <w:b/>
          <w:bCs/>
          <w:sz w:val="28"/>
          <w:szCs w:val="28"/>
        </w:rPr>
        <w:t>、创新创业课程与学分</w:t>
      </w:r>
    </w:p>
    <w:p>
      <w:pPr>
        <w:adjustRightInd w:val="0"/>
        <w:snapToGrid w:val="0"/>
        <w:ind w:firstLine="437"/>
        <w:rPr>
          <w:rFonts w:ascii="仿宋" w:hAnsi="仿宋" w:eastAsia="仿宋"/>
          <w:sz w:val="28"/>
          <w:szCs w:val="28"/>
        </w:rPr>
      </w:pPr>
      <w:r>
        <w:rPr>
          <w:rFonts w:hint="eastAsia" w:ascii="仿宋" w:hAnsi="仿宋" w:eastAsia="仿宋" w:cs="仿宋"/>
          <w:sz w:val="28"/>
          <w:szCs w:val="28"/>
        </w:rPr>
        <w:t>各专业总学分中必须包含不少于</w:t>
      </w:r>
      <w:r>
        <w:rPr>
          <w:rFonts w:ascii="仿宋" w:hAnsi="仿宋" w:eastAsia="仿宋" w:cs="仿宋"/>
          <w:sz w:val="28"/>
          <w:szCs w:val="28"/>
        </w:rPr>
        <w:t>4</w:t>
      </w:r>
      <w:r>
        <w:rPr>
          <w:rFonts w:hint="eastAsia" w:ascii="仿宋" w:hAnsi="仿宋" w:eastAsia="仿宋" w:cs="仿宋"/>
          <w:sz w:val="28"/>
          <w:szCs w:val="28"/>
        </w:rPr>
        <w:t>个创新创业学分，可在统一提供的创新创业课程模块中选择适合的课程，也可由各学院自行开设与专业相关度高的创新创业课程。</w:t>
      </w:r>
    </w:p>
    <w:p>
      <w:pPr>
        <w:adjustRightInd w:val="0"/>
        <w:snapToGrid w:val="0"/>
        <w:ind w:firstLine="437"/>
        <w:rPr>
          <w:rFonts w:ascii="仿宋" w:hAnsi="仿宋" w:eastAsia="仿宋"/>
          <w:b/>
          <w:bCs/>
          <w:sz w:val="28"/>
          <w:szCs w:val="28"/>
        </w:rPr>
      </w:pPr>
      <w:r>
        <w:rPr>
          <w:rFonts w:ascii="仿宋" w:hAnsi="仿宋" w:eastAsia="仿宋" w:cs="仿宋"/>
          <w:b/>
          <w:bCs/>
          <w:sz w:val="28"/>
          <w:szCs w:val="28"/>
        </w:rPr>
        <w:t>5</w:t>
      </w:r>
      <w:r>
        <w:rPr>
          <w:rFonts w:hint="eastAsia" w:ascii="仿宋" w:hAnsi="仿宋" w:eastAsia="仿宋" w:cs="仿宋"/>
          <w:b/>
          <w:bCs/>
          <w:sz w:val="28"/>
          <w:szCs w:val="28"/>
        </w:rPr>
        <w:t>、其他</w:t>
      </w:r>
    </w:p>
    <w:p>
      <w:pPr>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人才培养方案的修订指导意见，是在面向全校所有专业的基础上提供的大体框架，各专业应根据自己的实际情况进行具体化和细则化的修订，如有专业实际与指导意见不能一致的地方，需在修订报告中作出有依据的说明。</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对于需要其他二级教学单位承担的专业课程，应与相关单位进行充分沟通，研究决定教学内容及学时、学分安排。经双方商定的课程，开课单位应保证课程的按时开出。同时加强课程在内容和开课时间上的衔接。人才培养方案一旦确定后尽量不再调整，否则将影响院系教学状态评价。</w:t>
      </w:r>
    </w:p>
    <w:p>
      <w:pPr>
        <w:adjustRightInd w:val="0"/>
        <w:snapToGrid w:val="0"/>
        <w:ind w:firstLine="560" w:firstLineChars="200"/>
        <w:rPr>
          <w:rFonts w:ascii="仿宋" w:hAnsi="仿宋" w:eastAsia="仿宋"/>
          <w:sz w:val="28"/>
          <w:szCs w:val="28"/>
        </w:rPr>
      </w:pPr>
    </w:p>
    <w:p>
      <w:pPr>
        <w:adjustRightInd w:val="0"/>
        <w:snapToGrid w:val="0"/>
        <w:rPr>
          <w:rFonts w:ascii="仿宋" w:hAnsi="仿宋" w:eastAsia="仿宋"/>
          <w:b/>
          <w:bCs/>
          <w:sz w:val="28"/>
          <w:szCs w:val="28"/>
        </w:rPr>
      </w:pPr>
      <w:r>
        <w:rPr>
          <w:rFonts w:hint="eastAsia" w:ascii="仿宋" w:hAnsi="仿宋" w:eastAsia="仿宋" w:cs="仿宋"/>
          <w:b/>
          <w:bCs/>
          <w:sz w:val="28"/>
          <w:szCs w:val="28"/>
        </w:rPr>
        <w:t>三、人才培养方案框架</w:t>
      </w:r>
    </w:p>
    <w:p>
      <w:pPr>
        <w:adjustRightInd w:val="0"/>
        <w:snapToGrid w:val="0"/>
        <w:ind w:firstLine="562" w:firstLineChars="200"/>
        <w:rPr>
          <w:rFonts w:ascii="仿宋" w:hAnsi="仿宋" w:eastAsia="仿宋"/>
          <w:b/>
          <w:bCs/>
          <w:sz w:val="28"/>
          <w:szCs w:val="28"/>
        </w:rPr>
      </w:pPr>
      <w:r>
        <w:rPr>
          <w:rFonts w:hint="eastAsia" w:ascii="仿宋" w:hAnsi="仿宋" w:eastAsia="仿宋" w:cs="仿宋"/>
          <w:b/>
          <w:bCs/>
          <w:sz w:val="28"/>
          <w:szCs w:val="28"/>
        </w:rPr>
        <w:t>（一）培养方案组成</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2016</w:t>
      </w:r>
      <w:r>
        <w:rPr>
          <w:rFonts w:hint="eastAsia" w:ascii="仿宋" w:hAnsi="仿宋" w:eastAsia="仿宋" w:cs="仿宋"/>
          <w:sz w:val="28"/>
          <w:szCs w:val="28"/>
        </w:rPr>
        <w:t>级本科专业人才培养方案基本内容包括：</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1</w:t>
      </w:r>
      <w:r>
        <w:rPr>
          <w:rFonts w:hint="eastAsia" w:ascii="仿宋" w:hAnsi="仿宋" w:eastAsia="仿宋" w:cs="仿宋"/>
          <w:sz w:val="28"/>
          <w:szCs w:val="28"/>
        </w:rPr>
        <w:t>、培养目标（专业培养目标突出本专业特色，并与学校的总体培养目标体现对应关系。）</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2</w:t>
      </w:r>
      <w:r>
        <w:rPr>
          <w:rFonts w:hint="eastAsia" w:ascii="仿宋" w:hAnsi="仿宋" w:eastAsia="仿宋" w:cs="仿宋"/>
          <w:sz w:val="28"/>
          <w:szCs w:val="28"/>
        </w:rPr>
        <w:t>、毕业要求：（</w:t>
      </w:r>
      <w:r>
        <w:rPr>
          <w:rFonts w:ascii="仿宋" w:hAnsi="仿宋" w:eastAsia="仿宋" w:cs="仿宋"/>
          <w:sz w:val="28"/>
          <w:szCs w:val="28"/>
        </w:rPr>
        <w:t>1</w:t>
      </w:r>
      <w:r>
        <w:rPr>
          <w:rFonts w:hint="eastAsia" w:ascii="仿宋" w:hAnsi="仿宋" w:eastAsia="仿宋" w:cs="仿宋"/>
          <w:sz w:val="28"/>
          <w:szCs w:val="28"/>
        </w:rPr>
        <w:t>）素质结构要求（</w:t>
      </w:r>
      <w:r>
        <w:rPr>
          <w:rFonts w:ascii="仿宋" w:hAnsi="仿宋" w:eastAsia="仿宋" w:cs="仿宋"/>
          <w:sz w:val="28"/>
          <w:szCs w:val="28"/>
        </w:rPr>
        <w:t>2</w:t>
      </w:r>
      <w:r>
        <w:rPr>
          <w:rFonts w:hint="eastAsia" w:ascii="仿宋" w:hAnsi="仿宋" w:eastAsia="仿宋" w:cs="仿宋"/>
          <w:sz w:val="28"/>
          <w:szCs w:val="28"/>
        </w:rPr>
        <w:t>）知识结构要求（</w:t>
      </w:r>
      <w:r>
        <w:rPr>
          <w:rFonts w:ascii="仿宋" w:hAnsi="仿宋" w:eastAsia="仿宋" w:cs="仿宋"/>
          <w:sz w:val="28"/>
          <w:szCs w:val="28"/>
        </w:rPr>
        <w:t>3</w:t>
      </w:r>
      <w:r>
        <w:rPr>
          <w:rFonts w:hint="eastAsia" w:ascii="仿宋" w:hAnsi="仿宋" w:eastAsia="仿宋" w:cs="仿宋"/>
          <w:sz w:val="28"/>
          <w:szCs w:val="28"/>
        </w:rPr>
        <w:t>）能力结构要求（</w:t>
      </w:r>
      <w:r>
        <w:rPr>
          <w:rFonts w:ascii="仿宋" w:hAnsi="仿宋" w:eastAsia="仿宋" w:cs="仿宋"/>
          <w:sz w:val="28"/>
          <w:szCs w:val="28"/>
        </w:rPr>
        <w:t>4</w:t>
      </w:r>
      <w:r>
        <w:rPr>
          <w:rFonts w:hint="eastAsia" w:ascii="仿宋" w:hAnsi="仿宋" w:eastAsia="仿宋" w:cs="仿宋"/>
          <w:sz w:val="28"/>
          <w:szCs w:val="28"/>
        </w:rPr>
        <w:t>）服务方向</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3</w:t>
      </w:r>
      <w:r>
        <w:rPr>
          <w:rFonts w:hint="eastAsia" w:ascii="仿宋" w:hAnsi="仿宋" w:eastAsia="仿宋" w:cs="仿宋"/>
          <w:sz w:val="28"/>
          <w:szCs w:val="28"/>
        </w:rPr>
        <w:t>、培养计划：（</w:t>
      </w:r>
      <w:r>
        <w:rPr>
          <w:rFonts w:ascii="仿宋" w:hAnsi="仿宋" w:eastAsia="仿宋" w:cs="仿宋"/>
          <w:sz w:val="28"/>
          <w:szCs w:val="28"/>
        </w:rPr>
        <w:t>1</w:t>
      </w:r>
      <w:r>
        <w:rPr>
          <w:rFonts w:hint="eastAsia" w:ascii="仿宋" w:hAnsi="仿宋" w:eastAsia="仿宋" w:cs="仿宋"/>
          <w:sz w:val="28"/>
          <w:szCs w:val="28"/>
        </w:rPr>
        <w:t>）培养计划的制定和实施（</w:t>
      </w:r>
      <w:r>
        <w:rPr>
          <w:rFonts w:ascii="仿宋" w:hAnsi="仿宋" w:eastAsia="仿宋" w:cs="仿宋"/>
          <w:sz w:val="28"/>
          <w:szCs w:val="28"/>
        </w:rPr>
        <w:t>2</w:t>
      </w:r>
      <w:r>
        <w:rPr>
          <w:rFonts w:hint="eastAsia" w:ascii="仿宋" w:hAnsi="仿宋" w:eastAsia="仿宋" w:cs="仿宋"/>
          <w:sz w:val="28"/>
          <w:szCs w:val="28"/>
        </w:rPr>
        <w:t>）课程结构及学分要求（</w:t>
      </w:r>
      <w:r>
        <w:rPr>
          <w:rFonts w:ascii="仿宋" w:hAnsi="仿宋" w:eastAsia="仿宋" w:cs="仿宋"/>
          <w:sz w:val="28"/>
          <w:szCs w:val="28"/>
        </w:rPr>
        <w:t>3</w:t>
      </w:r>
      <w:r>
        <w:rPr>
          <w:rFonts w:hint="eastAsia" w:ascii="仿宋" w:hAnsi="仿宋" w:eastAsia="仿宋" w:cs="仿宋"/>
          <w:sz w:val="28"/>
          <w:szCs w:val="28"/>
        </w:rPr>
        <w:t>）理论教学的内容与体系（</w:t>
      </w:r>
      <w:r>
        <w:rPr>
          <w:rFonts w:ascii="仿宋" w:hAnsi="仿宋" w:eastAsia="仿宋" w:cs="仿宋"/>
          <w:sz w:val="28"/>
          <w:szCs w:val="28"/>
        </w:rPr>
        <w:t>4</w:t>
      </w:r>
      <w:r>
        <w:rPr>
          <w:rFonts w:hint="eastAsia" w:ascii="仿宋" w:hAnsi="仿宋" w:eastAsia="仿宋" w:cs="仿宋"/>
          <w:sz w:val="28"/>
          <w:szCs w:val="28"/>
        </w:rPr>
        <w:t>）实践教学内容与体系</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4</w:t>
      </w:r>
      <w:r>
        <w:rPr>
          <w:rFonts w:hint="eastAsia" w:ascii="仿宋" w:hAnsi="仿宋" w:eastAsia="仿宋" w:cs="仿宋"/>
          <w:sz w:val="28"/>
          <w:szCs w:val="28"/>
        </w:rPr>
        <w:t>、课程设置与教学进程表：（</w:t>
      </w:r>
      <w:r>
        <w:rPr>
          <w:rFonts w:ascii="仿宋" w:hAnsi="仿宋" w:eastAsia="仿宋" w:cs="仿宋"/>
          <w:sz w:val="28"/>
          <w:szCs w:val="28"/>
        </w:rPr>
        <w:t>1</w:t>
      </w:r>
      <w:r>
        <w:rPr>
          <w:rFonts w:hint="eastAsia" w:ascii="仿宋" w:hAnsi="仿宋" w:eastAsia="仿宋" w:cs="仿宋"/>
          <w:sz w:val="28"/>
          <w:szCs w:val="28"/>
        </w:rPr>
        <w:t>）</w:t>
      </w:r>
      <w:r>
        <w:rPr>
          <w:rFonts w:ascii="仿宋" w:hAnsi="仿宋" w:eastAsia="仿宋" w:cs="仿宋"/>
          <w:sz w:val="28"/>
          <w:szCs w:val="28"/>
        </w:rPr>
        <w:t xml:space="preserve"> </w:t>
      </w:r>
      <w:r>
        <w:rPr>
          <w:rFonts w:hint="eastAsia" w:ascii="仿宋" w:hAnsi="仿宋" w:eastAsia="仿宋" w:cs="仿宋"/>
          <w:sz w:val="28"/>
          <w:szCs w:val="28"/>
        </w:rPr>
        <w:t>理论教学课程设置及课时安排表（</w:t>
      </w: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
          <w:sz w:val="28"/>
          <w:szCs w:val="28"/>
        </w:rPr>
        <w:t xml:space="preserve"> </w:t>
      </w:r>
      <w:r>
        <w:rPr>
          <w:rFonts w:hint="eastAsia" w:ascii="仿宋" w:hAnsi="仿宋" w:eastAsia="仿宋" w:cs="仿宋"/>
          <w:sz w:val="28"/>
          <w:szCs w:val="28"/>
        </w:rPr>
        <w:t>实践教学环节课程设置及课时安排表（</w:t>
      </w:r>
      <w:r>
        <w:rPr>
          <w:rFonts w:ascii="仿宋" w:hAnsi="仿宋" w:eastAsia="仿宋" w:cs="仿宋"/>
          <w:sz w:val="28"/>
          <w:szCs w:val="28"/>
        </w:rPr>
        <w:t>3</w:t>
      </w:r>
      <w:r>
        <w:rPr>
          <w:rFonts w:hint="eastAsia" w:ascii="仿宋" w:hAnsi="仿宋" w:eastAsia="仿宋" w:cs="仿宋"/>
          <w:sz w:val="28"/>
          <w:szCs w:val="28"/>
        </w:rPr>
        <w:t>）</w:t>
      </w:r>
      <w:r>
        <w:rPr>
          <w:rFonts w:ascii="仿宋" w:hAnsi="仿宋" w:eastAsia="仿宋" w:cs="仿宋"/>
          <w:sz w:val="28"/>
          <w:szCs w:val="28"/>
        </w:rPr>
        <w:t xml:space="preserve"> </w:t>
      </w:r>
      <w:r>
        <w:rPr>
          <w:rFonts w:hint="eastAsia" w:ascii="仿宋" w:hAnsi="仿宋" w:eastAsia="仿宋" w:cs="仿宋"/>
          <w:sz w:val="28"/>
          <w:szCs w:val="28"/>
        </w:rPr>
        <w:t>教学进程表（</w:t>
      </w:r>
      <w:r>
        <w:rPr>
          <w:rFonts w:ascii="仿宋" w:hAnsi="仿宋" w:eastAsia="仿宋" w:cs="仿宋"/>
          <w:sz w:val="28"/>
          <w:szCs w:val="28"/>
        </w:rPr>
        <w:t>4</w:t>
      </w:r>
      <w:r>
        <w:rPr>
          <w:rFonts w:hint="eastAsia" w:ascii="仿宋" w:hAnsi="仿宋" w:eastAsia="仿宋" w:cs="仿宋"/>
          <w:sz w:val="28"/>
          <w:szCs w:val="28"/>
        </w:rPr>
        <w:t>）辅修专业教学计划表（</w:t>
      </w:r>
      <w:r>
        <w:rPr>
          <w:rFonts w:ascii="仿宋" w:hAnsi="仿宋" w:eastAsia="仿宋" w:cs="仿宋"/>
          <w:sz w:val="28"/>
          <w:szCs w:val="28"/>
        </w:rPr>
        <w:t>5</w:t>
      </w:r>
      <w:r>
        <w:rPr>
          <w:rFonts w:hint="eastAsia" w:ascii="仿宋" w:hAnsi="仿宋" w:eastAsia="仿宋" w:cs="仿宋"/>
          <w:sz w:val="28"/>
          <w:szCs w:val="28"/>
        </w:rPr>
        <w:t>）</w:t>
      </w:r>
      <w:r>
        <w:rPr>
          <w:rFonts w:ascii="仿宋" w:hAnsi="仿宋" w:eastAsia="仿宋" w:cs="仿宋"/>
          <w:sz w:val="28"/>
          <w:szCs w:val="28"/>
        </w:rPr>
        <w:t xml:space="preserve"> </w:t>
      </w:r>
      <w:r>
        <w:rPr>
          <w:rFonts w:hint="eastAsia" w:ascii="仿宋" w:hAnsi="仿宋" w:eastAsia="仿宋" w:cs="仿宋"/>
          <w:sz w:val="28"/>
          <w:szCs w:val="28"/>
        </w:rPr>
        <w:t>创新能力及素质拓展计划</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5</w:t>
      </w:r>
      <w:r>
        <w:rPr>
          <w:rFonts w:hint="eastAsia" w:ascii="仿宋" w:hAnsi="仿宋" w:eastAsia="仿宋" w:cs="仿宋"/>
          <w:sz w:val="28"/>
          <w:szCs w:val="28"/>
        </w:rPr>
        <w:t>、毕业规定</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6</w:t>
      </w:r>
      <w:r>
        <w:rPr>
          <w:rFonts w:hint="eastAsia" w:ascii="仿宋" w:hAnsi="仿宋" w:eastAsia="仿宋" w:cs="仿宋"/>
          <w:sz w:val="28"/>
          <w:szCs w:val="28"/>
        </w:rPr>
        <w:t>、学制与学位</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7</w:t>
      </w:r>
      <w:r>
        <w:rPr>
          <w:rFonts w:hint="eastAsia" w:ascii="仿宋" w:hAnsi="仿宋" w:eastAsia="仿宋" w:cs="仿宋"/>
          <w:sz w:val="28"/>
          <w:szCs w:val="28"/>
        </w:rPr>
        <w:t>、主要指标</w:t>
      </w:r>
    </w:p>
    <w:p>
      <w:pPr>
        <w:adjustRightInd w:val="0"/>
        <w:snapToGrid w:val="0"/>
        <w:ind w:firstLine="560" w:firstLineChars="200"/>
        <w:rPr>
          <w:rFonts w:ascii="仿宋" w:hAnsi="仿宋" w:eastAsia="仿宋"/>
          <w:sz w:val="28"/>
          <w:szCs w:val="28"/>
        </w:rPr>
      </w:pPr>
      <w:r>
        <w:rPr>
          <w:rFonts w:ascii="仿宋" w:hAnsi="仿宋" w:eastAsia="仿宋" w:cs="仿宋"/>
          <w:sz w:val="28"/>
          <w:szCs w:val="28"/>
        </w:rPr>
        <w:t>8</w:t>
      </w:r>
      <w:r>
        <w:rPr>
          <w:rFonts w:hint="eastAsia" w:ascii="仿宋" w:hAnsi="仿宋" w:eastAsia="仿宋" w:cs="仿宋"/>
          <w:sz w:val="28"/>
          <w:szCs w:val="28"/>
        </w:rPr>
        <w:t>、人才培养方案校核表</w:t>
      </w:r>
    </w:p>
    <w:p>
      <w:pPr>
        <w:adjustRightInd w:val="0"/>
        <w:snapToGrid w:val="0"/>
        <w:ind w:firstLine="560" w:firstLineChars="200"/>
        <w:rPr>
          <w:rFonts w:ascii="仿宋" w:hAnsi="仿宋" w:eastAsia="仿宋"/>
          <w:sz w:val="28"/>
          <w:szCs w:val="28"/>
        </w:rPr>
      </w:pPr>
    </w:p>
    <w:p>
      <w:pPr>
        <w:adjustRightInd w:val="0"/>
        <w:snapToGrid w:val="0"/>
        <w:ind w:firstLine="437"/>
        <w:rPr>
          <w:rFonts w:ascii="仿宋" w:hAnsi="仿宋" w:eastAsia="仿宋"/>
          <w:b/>
          <w:bCs/>
          <w:sz w:val="28"/>
          <w:szCs w:val="28"/>
        </w:rPr>
      </w:pPr>
      <w:r>
        <w:rPr>
          <w:rFonts w:hint="eastAsia" w:ascii="仿宋" w:hAnsi="仿宋" w:eastAsia="仿宋" w:cs="仿宋"/>
          <w:b/>
          <w:bCs/>
          <w:sz w:val="28"/>
          <w:szCs w:val="28"/>
        </w:rPr>
        <w:t>（二）学时与学分要求</w:t>
      </w:r>
    </w:p>
    <w:p>
      <w:pPr>
        <w:adjustRightInd w:val="0"/>
        <w:snapToGrid w:val="0"/>
        <w:ind w:firstLine="562" w:firstLineChars="200"/>
        <w:rPr>
          <w:rFonts w:ascii="仿宋" w:hAnsi="仿宋" w:eastAsia="仿宋"/>
          <w:b/>
          <w:bCs/>
          <w:sz w:val="28"/>
          <w:szCs w:val="28"/>
        </w:rPr>
      </w:pPr>
      <w:r>
        <w:rPr>
          <w:rFonts w:ascii="仿宋" w:hAnsi="仿宋" w:eastAsia="仿宋" w:cs="仿宋"/>
          <w:b/>
          <w:bCs/>
          <w:sz w:val="28"/>
          <w:szCs w:val="28"/>
        </w:rPr>
        <w:t>1</w:t>
      </w:r>
      <w:r>
        <w:rPr>
          <w:rFonts w:hint="eastAsia" w:ascii="仿宋" w:hAnsi="仿宋" w:eastAsia="仿宋" w:cs="仿宋"/>
          <w:b/>
          <w:bCs/>
          <w:sz w:val="28"/>
          <w:szCs w:val="28"/>
        </w:rPr>
        <w:t>、学分计算</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计算学分的最小单位为</w:t>
      </w:r>
      <w:r>
        <w:rPr>
          <w:rFonts w:ascii="仿宋" w:hAnsi="仿宋" w:eastAsia="仿宋" w:cs="仿宋"/>
          <w:sz w:val="28"/>
          <w:szCs w:val="28"/>
        </w:rPr>
        <w:t>0.5</w:t>
      </w:r>
      <w:r>
        <w:rPr>
          <w:rFonts w:hint="eastAsia" w:ascii="仿宋" w:hAnsi="仿宋" w:eastAsia="仿宋" w:cs="仿宋"/>
          <w:sz w:val="28"/>
          <w:szCs w:val="28"/>
        </w:rPr>
        <w:t>。理论教学课程每</w:t>
      </w:r>
      <w:r>
        <w:rPr>
          <w:rFonts w:ascii="仿宋" w:hAnsi="仿宋" w:eastAsia="仿宋" w:cs="仿宋"/>
          <w:sz w:val="28"/>
          <w:szCs w:val="28"/>
        </w:rPr>
        <w:t>18</w:t>
      </w:r>
      <w:r>
        <w:rPr>
          <w:rFonts w:hint="eastAsia" w:ascii="仿宋" w:hAnsi="仿宋" w:eastAsia="仿宋" w:cs="仿宋"/>
          <w:sz w:val="28"/>
          <w:szCs w:val="28"/>
        </w:rPr>
        <w:t>学时为</w:t>
      </w:r>
      <w:r>
        <w:rPr>
          <w:rFonts w:ascii="仿宋" w:hAnsi="仿宋" w:eastAsia="仿宋" w:cs="仿宋"/>
          <w:sz w:val="28"/>
          <w:szCs w:val="28"/>
        </w:rPr>
        <w:t>1</w:t>
      </w:r>
      <w:r>
        <w:rPr>
          <w:rFonts w:hint="eastAsia" w:ascii="仿宋" w:hAnsi="仿宋" w:eastAsia="仿宋" w:cs="仿宋"/>
          <w:sz w:val="28"/>
          <w:szCs w:val="28"/>
        </w:rPr>
        <w:t>学分；不够</w:t>
      </w:r>
      <w:r>
        <w:rPr>
          <w:rFonts w:ascii="仿宋" w:hAnsi="仿宋" w:eastAsia="仿宋" w:cs="仿宋"/>
          <w:sz w:val="28"/>
          <w:szCs w:val="28"/>
        </w:rPr>
        <w:t>18</w:t>
      </w:r>
      <w:r>
        <w:rPr>
          <w:rFonts w:hint="eastAsia" w:ascii="仿宋" w:hAnsi="仿宋" w:eastAsia="仿宋" w:cs="仿宋"/>
          <w:sz w:val="28"/>
          <w:szCs w:val="28"/>
        </w:rPr>
        <w:t>学时但达</w:t>
      </w:r>
      <w:r>
        <w:rPr>
          <w:rFonts w:ascii="仿宋" w:hAnsi="仿宋" w:eastAsia="仿宋" w:cs="仿宋"/>
          <w:sz w:val="28"/>
          <w:szCs w:val="28"/>
        </w:rPr>
        <w:t>9</w:t>
      </w:r>
      <w:r>
        <w:rPr>
          <w:rFonts w:hint="eastAsia" w:ascii="仿宋" w:hAnsi="仿宋" w:eastAsia="仿宋" w:cs="仿宋"/>
          <w:sz w:val="28"/>
          <w:szCs w:val="28"/>
        </w:rPr>
        <w:t>学时以上计</w:t>
      </w:r>
      <w:r>
        <w:rPr>
          <w:rFonts w:ascii="仿宋" w:hAnsi="仿宋" w:eastAsia="仿宋" w:cs="仿宋"/>
          <w:sz w:val="28"/>
          <w:szCs w:val="28"/>
        </w:rPr>
        <w:t>0.5</w:t>
      </w:r>
      <w:r>
        <w:rPr>
          <w:rFonts w:hint="eastAsia" w:ascii="仿宋" w:hAnsi="仿宋" w:eastAsia="仿宋" w:cs="仿宋"/>
          <w:sz w:val="28"/>
          <w:szCs w:val="28"/>
        </w:rPr>
        <w:t>学分，不足</w:t>
      </w:r>
      <w:r>
        <w:rPr>
          <w:rFonts w:ascii="仿宋" w:hAnsi="仿宋" w:eastAsia="仿宋" w:cs="仿宋"/>
          <w:sz w:val="28"/>
          <w:szCs w:val="28"/>
        </w:rPr>
        <w:t>9</w:t>
      </w:r>
      <w:r>
        <w:rPr>
          <w:rFonts w:hint="eastAsia" w:ascii="仿宋" w:hAnsi="仿宋" w:eastAsia="仿宋" w:cs="仿宋"/>
          <w:sz w:val="28"/>
          <w:szCs w:val="28"/>
        </w:rPr>
        <w:t>学时的不计学分；</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一般集中实践教学环节每周计</w:t>
      </w:r>
      <w:r>
        <w:rPr>
          <w:rFonts w:ascii="仿宋" w:hAnsi="仿宋" w:eastAsia="仿宋" w:cs="仿宋"/>
          <w:sz w:val="28"/>
          <w:szCs w:val="28"/>
        </w:rPr>
        <w:t>1</w:t>
      </w:r>
      <w:r>
        <w:rPr>
          <w:rFonts w:hint="eastAsia" w:ascii="仿宋" w:hAnsi="仿宋" w:eastAsia="仿宋" w:cs="仿宋"/>
          <w:sz w:val="28"/>
          <w:szCs w:val="28"/>
        </w:rPr>
        <w:t>学分，不够半周的不计学分。毕业设计（论文）和毕业实习环节每</w:t>
      </w:r>
      <w:r>
        <w:rPr>
          <w:rFonts w:ascii="仿宋" w:hAnsi="仿宋" w:eastAsia="仿宋" w:cs="仿宋"/>
          <w:sz w:val="28"/>
          <w:szCs w:val="28"/>
        </w:rPr>
        <w:t>2</w:t>
      </w:r>
      <w:r>
        <w:rPr>
          <w:rFonts w:hint="eastAsia" w:ascii="仿宋" w:hAnsi="仿宋" w:eastAsia="仿宋" w:cs="仿宋"/>
          <w:sz w:val="28"/>
          <w:szCs w:val="28"/>
        </w:rPr>
        <w:t>周计</w:t>
      </w:r>
      <w:r>
        <w:rPr>
          <w:rFonts w:ascii="仿宋" w:hAnsi="仿宋" w:eastAsia="仿宋" w:cs="仿宋"/>
          <w:sz w:val="28"/>
          <w:szCs w:val="28"/>
        </w:rPr>
        <w:t>1</w:t>
      </w:r>
      <w:r>
        <w:rPr>
          <w:rFonts w:hint="eastAsia" w:ascii="仿宋" w:hAnsi="仿宋" w:eastAsia="仿宋" w:cs="仿宋"/>
          <w:sz w:val="28"/>
          <w:szCs w:val="28"/>
        </w:rPr>
        <w:t>学分。</w:t>
      </w:r>
    </w:p>
    <w:p>
      <w:pPr>
        <w:adjustRightInd w:val="0"/>
        <w:snapToGrid w:val="0"/>
        <w:ind w:firstLine="562" w:firstLineChars="200"/>
        <w:rPr>
          <w:rFonts w:ascii="仿宋" w:hAnsi="仿宋" w:eastAsia="仿宋"/>
          <w:b/>
          <w:bCs/>
          <w:sz w:val="28"/>
          <w:szCs w:val="28"/>
        </w:rPr>
      </w:pPr>
      <w:r>
        <w:rPr>
          <w:rFonts w:ascii="仿宋" w:hAnsi="仿宋" w:eastAsia="仿宋" w:cs="仿宋"/>
          <w:b/>
          <w:bCs/>
          <w:sz w:val="28"/>
          <w:szCs w:val="28"/>
        </w:rPr>
        <w:t>2</w:t>
      </w:r>
      <w:r>
        <w:rPr>
          <w:rFonts w:hint="eastAsia" w:ascii="仿宋" w:hAnsi="仿宋" w:eastAsia="仿宋" w:cs="仿宋"/>
          <w:b/>
          <w:bCs/>
          <w:sz w:val="28"/>
          <w:szCs w:val="28"/>
        </w:rPr>
        <w:t>、周学时安排</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第</w:t>
      </w:r>
      <w:r>
        <w:rPr>
          <w:rFonts w:ascii="仿宋" w:hAnsi="仿宋" w:eastAsia="仿宋" w:cs="仿宋"/>
          <w:sz w:val="28"/>
          <w:szCs w:val="28"/>
        </w:rPr>
        <w:t>1-6</w:t>
      </w:r>
      <w:r>
        <w:rPr>
          <w:rFonts w:hint="eastAsia" w:ascii="仿宋" w:hAnsi="仿宋" w:eastAsia="仿宋" w:cs="仿宋"/>
          <w:sz w:val="28"/>
          <w:szCs w:val="28"/>
        </w:rPr>
        <w:t>学期必修课周学时控制在</w:t>
      </w:r>
      <w:r>
        <w:rPr>
          <w:rFonts w:ascii="仿宋" w:hAnsi="仿宋" w:eastAsia="仿宋" w:cs="仿宋"/>
          <w:sz w:val="28"/>
          <w:szCs w:val="28"/>
        </w:rPr>
        <w:t>22</w:t>
      </w:r>
      <w:r>
        <w:rPr>
          <w:rFonts w:hint="eastAsia" w:ascii="仿宋" w:hAnsi="仿宋" w:eastAsia="仿宋" w:cs="仿宋"/>
          <w:sz w:val="28"/>
          <w:szCs w:val="28"/>
        </w:rPr>
        <w:t>学时以内；第</w:t>
      </w:r>
      <w:r>
        <w:rPr>
          <w:rFonts w:ascii="仿宋" w:hAnsi="仿宋" w:eastAsia="仿宋" w:cs="仿宋"/>
          <w:sz w:val="28"/>
          <w:szCs w:val="28"/>
        </w:rPr>
        <w:t>7</w:t>
      </w:r>
      <w:r>
        <w:rPr>
          <w:rFonts w:hint="eastAsia" w:ascii="仿宋" w:hAnsi="仿宋" w:eastAsia="仿宋" w:cs="仿宋"/>
          <w:sz w:val="28"/>
          <w:szCs w:val="28"/>
        </w:rPr>
        <w:t>学期周学时控制在</w:t>
      </w:r>
      <w:r>
        <w:rPr>
          <w:rFonts w:ascii="仿宋" w:hAnsi="仿宋" w:eastAsia="仿宋" w:cs="仿宋"/>
          <w:sz w:val="28"/>
          <w:szCs w:val="28"/>
        </w:rPr>
        <w:t>12</w:t>
      </w:r>
      <w:r>
        <w:rPr>
          <w:rFonts w:hint="eastAsia" w:ascii="仿宋" w:hAnsi="仿宋" w:eastAsia="仿宋" w:cs="仿宋"/>
          <w:sz w:val="28"/>
          <w:szCs w:val="28"/>
        </w:rPr>
        <w:t>学时以内。</w:t>
      </w:r>
    </w:p>
    <w:p>
      <w:pPr>
        <w:adjustRightInd w:val="0"/>
        <w:snapToGrid w:val="0"/>
        <w:ind w:firstLine="560" w:firstLineChars="200"/>
        <w:rPr>
          <w:rFonts w:ascii="仿宋" w:hAnsi="仿宋" w:eastAsia="仿宋"/>
          <w:sz w:val="28"/>
          <w:szCs w:val="28"/>
        </w:rPr>
      </w:pPr>
      <w:r>
        <w:rPr>
          <w:rFonts w:hint="eastAsia" w:ascii="仿宋" w:hAnsi="仿宋" w:eastAsia="仿宋" w:cs="仿宋"/>
          <w:sz w:val="28"/>
          <w:szCs w:val="28"/>
        </w:rPr>
        <w:t>理论教学周为</w:t>
      </w:r>
      <w:r>
        <w:rPr>
          <w:rFonts w:ascii="仿宋" w:hAnsi="仿宋" w:eastAsia="仿宋" w:cs="仿宋"/>
          <w:sz w:val="28"/>
          <w:szCs w:val="28"/>
        </w:rPr>
        <w:t>18</w:t>
      </w:r>
      <w:r>
        <w:rPr>
          <w:rFonts w:hint="eastAsia" w:ascii="仿宋" w:hAnsi="仿宋" w:eastAsia="仿宋" w:cs="仿宋"/>
          <w:sz w:val="28"/>
          <w:szCs w:val="28"/>
        </w:rPr>
        <w:t>周，一般每学期的理论教学连续安排，集中性实践教学尽量在学期末和寒暑假等时间灵活安排。</w:t>
      </w:r>
    </w:p>
    <w:p>
      <w:pPr>
        <w:adjustRightInd w:val="0"/>
        <w:snapToGrid w:val="0"/>
        <w:ind w:firstLine="562" w:firstLineChars="200"/>
        <w:rPr>
          <w:rFonts w:ascii="仿宋" w:hAnsi="仿宋" w:eastAsia="仿宋"/>
          <w:b/>
          <w:bCs/>
          <w:sz w:val="28"/>
          <w:szCs w:val="28"/>
        </w:rPr>
      </w:pPr>
      <w:r>
        <w:rPr>
          <w:rFonts w:ascii="仿宋" w:hAnsi="仿宋" w:eastAsia="仿宋" w:cs="仿宋"/>
          <w:b/>
          <w:bCs/>
          <w:sz w:val="28"/>
          <w:szCs w:val="28"/>
        </w:rPr>
        <w:t>3</w:t>
      </w:r>
      <w:r>
        <w:rPr>
          <w:rFonts w:hint="eastAsia" w:ascii="仿宋" w:hAnsi="仿宋" w:eastAsia="仿宋" w:cs="仿宋"/>
          <w:b/>
          <w:bCs/>
          <w:sz w:val="28"/>
          <w:szCs w:val="28"/>
        </w:rPr>
        <w:t>、总学分要求</w:t>
      </w:r>
    </w:p>
    <w:p>
      <w:pPr>
        <w:widowControl/>
        <w:snapToGrid w:val="0"/>
        <w:ind w:firstLine="560" w:firstLineChars="200"/>
        <w:jc w:val="left"/>
        <w:rPr>
          <w:rFonts w:ascii="仿宋" w:hAnsi="仿宋" w:eastAsia="仿宋"/>
          <w:kern w:val="0"/>
          <w:sz w:val="28"/>
          <w:szCs w:val="28"/>
        </w:rPr>
      </w:pPr>
      <w:r>
        <w:rPr>
          <w:rFonts w:hint="eastAsia" w:ascii="仿宋" w:hAnsi="仿宋" w:eastAsia="仿宋" w:cs="仿宋"/>
          <w:sz w:val="28"/>
          <w:szCs w:val="28"/>
        </w:rPr>
        <w:t>学生毕业应修的总学分，四年制专业原则上为</w:t>
      </w:r>
      <w:r>
        <w:rPr>
          <w:rFonts w:ascii="仿宋" w:hAnsi="仿宋" w:eastAsia="仿宋" w:cs="仿宋"/>
          <w:sz w:val="28"/>
          <w:szCs w:val="28"/>
        </w:rPr>
        <w:t>140</w:t>
      </w:r>
      <w:r>
        <w:rPr>
          <w:rFonts w:hint="eastAsia" w:ascii="仿宋" w:hAnsi="仿宋" w:eastAsia="仿宋" w:cs="仿宋"/>
          <w:sz w:val="28"/>
          <w:szCs w:val="28"/>
        </w:rPr>
        <w:t>－</w:t>
      </w:r>
      <w:r>
        <w:rPr>
          <w:rFonts w:ascii="仿宋" w:hAnsi="仿宋" w:eastAsia="仿宋" w:cs="仿宋"/>
          <w:sz w:val="28"/>
          <w:szCs w:val="28"/>
        </w:rPr>
        <w:t>150</w:t>
      </w:r>
      <w:r>
        <w:rPr>
          <w:rFonts w:hint="eastAsia" w:ascii="仿宋" w:hAnsi="仿宋" w:eastAsia="仿宋" w:cs="仿宋"/>
          <w:sz w:val="28"/>
          <w:szCs w:val="28"/>
        </w:rPr>
        <w:t>学分（不含课外学分</w:t>
      </w:r>
      <w:r>
        <w:rPr>
          <w:rFonts w:ascii="仿宋" w:hAnsi="仿宋" w:eastAsia="仿宋" w:cs="仿宋"/>
          <w:sz w:val="28"/>
          <w:szCs w:val="28"/>
        </w:rPr>
        <w:t>15</w:t>
      </w:r>
      <w:r>
        <w:rPr>
          <w:rFonts w:hint="eastAsia" w:ascii="仿宋" w:hAnsi="仿宋" w:eastAsia="仿宋" w:cs="仿宋"/>
          <w:sz w:val="28"/>
          <w:szCs w:val="28"/>
        </w:rPr>
        <w:t>学分）；五年制专业（建筑学专业）原则上不超过</w:t>
      </w:r>
      <w:r>
        <w:rPr>
          <w:rFonts w:ascii="仿宋" w:hAnsi="仿宋" w:eastAsia="仿宋" w:cs="仿宋"/>
          <w:sz w:val="28"/>
          <w:szCs w:val="28"/>
        </w:rPr>
        <w:t>185</w:t>
      </w:r>
      <w:r>
        <w:rPr>
          <w:rFonts w:hint="eastAsia" w:ascii="仿宋" w:hAnsi="仿宋" w:eastAsia="仿宋" w:cs="仿宋"/>
          <w:sz w:val="28"/>
          <w:szCs w:val="28"/>
        </w:rPr>
        <w:t>学分（不含课外学分</w:t>
      </w:r>
      <w:r>
        <w:rPr>
          <w:rFonts w:ascii="仿宋" w:hAnsi="仿宋" w:eastAsia="仿宋" w:cs="仿宋"/>
          <w:sz w:val="28"/>
          <w:szCs w:val="28"/>
        </w:rPr>
        <w:t>15</w:t>
      </w:r>
      <w:r>
        <w:rPr>
          <w:rFonts w:hint="eastAsia" w:ascii="仿宋" w:hAnsi="仿宋" w:eastAsia="仿宋" w:cs="仿宋"/>
          <w:sz w:val="28"/>
          <w:szCs w:val="28"/>
        </w:rPr>
        <w:t>学分）。</w:t>
      </w:r>
      <w:r>
        <w:rPr>
          <w:rFonts w:hint="eastAsia" w:ascii="仿宋" w:hAnsi="仿宋" w:eastAsia="仿宋" w:cs="仿宋"/>
          <w:kern w:val="0"/>
          <w:sz w:val="28"/>
          <w:szCs w:val="28"/>
        </w:rPr>
        <w:t>毕业前所修</w:t>
      </w:r>
      <w:r>
        <w:rPr>
          <w:rFonts w:hint="eastAsia" w:ascii="仿宋" w:hAnsi="仿宋" w:eastAsia="仿宋" w:cs="仿宋"/>
          <w:sz w:val="28"/>
          <w:szCs w:val="28"/>
        </w:rPr>
        <w:t>全校公选课学分不低于</w:t>
      </w:r>
      <w:r>
        <w:rPr>
          <w:rFonts w:ascii="仿宋" w:hAnsi="仿宋" w:eastAsia="仿宋" w:cs="仿宋"/>
          <w:sz w:val="28"/>
          <w:szCs w:val="28"/>
        </w:rPr>
        <w:t>8</w:t>
      </w:r>
      <w:r>
        <w:rPr>
          <w:rFonts w:hint="eastAsia" w:ascii="仿宋" w:hAnsi="仿宋" w:eastAsia="仿宋" w:cs="仿宋"/>
          <w:sz w:val="28"/>
          <w:szCs w:val="28"/>
        </w:rPr>
        <w:t>个学分。</w:t>
      </w:r>
    </w:p>
    <w:p>
      <w:pPr>
        <w:widowControl/>
        <w:snapToGrid w:val="0"/>
        <w:ind w:firstLine="560" w:firstLineChars="200"/>
        <w:jc w:val="left"/>
        <w:rPr>
          <w:rFonts w:ascii="仿宋" w:hAnsi="仿宋" w:eastAsia="仿宋"/>
          <w:kern w:val="0"/>
          <w:sz w:val="28"/>
          <w:szCs w:val="28"/>
        </w:rPr>
      </w:pPr>
    </w:p>
    <w:p>
      <w:pPr>
        <w:adjustRightInd w:val="0"/>
        <w:snapToGrid w:val="0"/>
        <w:ind w:firstLine="435"/>
        <w:rPr>
          <w:rFonts w:ascii="仿宋" w:hAnsi="仿宋" w:eastAsia="仿宋"/>
          <w:b/>
          <w:bCs/>
          <w:kern w:val="0"/>
          <w:sz w:val="28"/>
          <w:szCs w:val="28"/>
        </w:rPr>
      </w:pPr>
      <w:r>
        <w:rPr>
          <w:rFonts w:hint="eastAsia" w:ascii="仿宋" w:hAnsi="仿宋" w:eastAsia="仿宋" w:cs="仿宋"/>
          <w:b/>
          <w:bCs/>
          <w:sz w:val="28"/>
          <w:szCs w:val="28"/>
        </w:rPr>
        <w:t>（三）</w:t>
      </w:r>
      <w:r>
        <w:rPr>
          <w:rFonts w:hint="eastAsia" w:ascii="仿宋" w:hAnsi="仿宋" w:eastAsia="仿宋" w:cs="仿宋"/>
          <w:b/>
          <w:bCs/>
          <w:kern w:val="0"/>
          <w:sz w:val="28"/>
          <w:szCs w:val="28"/>
        </w:rPr>
        <w:t>其它说明</w:t>
      </w:r>
    </w:p>
    <w:p>
      <w:pPr>
        <w:widowControl/>
        <w:snapToGrid w:val="0"/>
        <w:ind w:firstLine="435"/>
        <w:jc w:val="left"/>
        <w:rPr>
          <w:rFonts w:ascii="仿宋" w:hAnsi="仿宋" w:eastAsia="仿宋"/>
          <w:kern w:val="0"/>
          <w:sz w:val="28"/>
          <w:szCs w:val="28"/>
        </w:rPr>
      </w:pPr>
      <w:r>
        <w:rPr>
          <w:rFonts w:ascii="仿宋" w:hAnsi="仿宋" w:eastAsia="仿宋" w:cs="仿宋"/>
          <w:kern w:val="0"/>
          <w:sz w:val="28"/>
          <w:szCs w:val="28"/>
        </w:rPr>
        <w:t>1</w:t>
      </w:r>
      <w:r>
        <w:rPr>
          <w:rFonts w:hint="eastAsia" w:ascii="仿宋" w:hAnsi="仿宋" w:eastAsia="仿宋" w:cs="仿宋"/>
          <w:kern w:val="0"/>
          <w:sz w:val="28"/>
          <w:szCs w:val="28"/>
        </w:rPr>
        <w:t>、</w:t>
      </w:r>
      <w:r>
        <w:rPr>
          <w:rFonts w:hint="eastAsia" w:ascii="仿宋" w:hAnsi="仿宋" w:eastAsia="仿宋" w:cs="仿宋"/>
          <w:kern w:val="0"/>
          <w:sz w:val="28"/>
          <w:szCs w:val="28"/>
          <w:lang w:val="zh-CN"/>
        </w:rPr>
        <w:t>每个专业制订一个方案，不须分方向制订，有专业方向的在教学计划中设置方向课程并作简要介绍。</w:t>
      </w:r>
    </w:p>
    <w:p>
      <w:pPr>
        <w:widowControl/>
        <w:snapToGrid w:val="0"/>
        <w:ind w:firstLine="435"/>
        <w:jc w:val="left"/>
        <w:rPr>
          <w:rFonts w:ascii="仿宋" w:hAnsi="仿宋" w:eastAsia="仿宋"/>
          <w:kern w:val="0"/>
          <w:sz w:val="28"/>
          <w:szCs w:val="28"/>
        </w:rPr>
      </w:pPr>
      <w:r>
        <w:rPr>
          <w:rFonts w:ascii="仿宋" w:hAnsi="仿宋" w:eastAsia="仿宋" w:cs="仿宋"/>
          <w:kern w:val="0"/>
          <w:sz w:val="28"/>
          <w:szCs w:val="28"/>
        </w:rPr>
        <w:t>2</w:t>
      </w:r>
      <w:r>
        <w:rPr>
          <w:rFonts w:hint="eastAsia" w:ascii="仿宋" w:hAnsi="仿宋" w:eastAsia="仿宋" w:cs="仿宋"/>
          <w:kern w:val="0"/>
          <w:sz w:val="28"/>
          <w:szCs w:val="28"/>
        </w:rPr>
        <w:t>、各学院要对各专业的课程予以规范和统一。教学要求和教学内容相同或相近的课程名称要尽量规范一致。</w:t>
      </w:r>
    </w:p>
    <w:p>
      <w:pPr>
        <w:widowControl/>
        <w:snapToGrid w:val="0"/>
        <w:ind w:firstLine="480"/>
        <w:jc w:val="left"/>
        <w:rPr>
          <w:rFonts w:ascii="仿宋" w:hAnsi="仿宋" w:eastAsia="仿宋"/>
          <w:kern w:val="0"/>
          <w:sz w:val="28"/>
          <w:szCs w:val="28"/>
        </w:rPr>
      </w:pPr>
      <w:r>
        <w:rPr>
          <w:rFonts w:ascii="仿宋" w:hAnsi="仿宋" w:eastAsia="仿宋" w:cs="仿宋"/>
          <w:kern w:val="0"/>
          <w:sz w:val="28"/>
          <w:szCs w:val="28"/>
        </w:rPr>
        <w:t>3</w:t>
      </w:r>
      <w:r>
        <w:rPr>
          <w:rFonts w:hint="eastAsia" w:ascii="仿宋" w:hAnsi="仿宋" w:eastAsia="仿宋" w:cs="仿宋"/>
          <w:kern w:val="0"/>
          <w:sz w:val="28"/>
          <w:szCs w:val="28"/>
        </w:rPr>
        <w:t>、</w:t>
      </w:r>
      <w:r>
        <w:rPr>
          <w:rFonts w:ascii="仿宋" w:hAnsi="仿宋" w:eastAsia="仿宋" w:cs="仿宋"/>
          <w:kern w:val="0"/>
          <w:sz w:val="28"/>
          <w:szCs w:val="28"/>
        </w:rPr>
        <w:t>2016</w:t>
      </w:r>
      <w:r>
        <w:rPr>
          <w:rFonts w:hint="eastAsia" w:ascii="仿宋" w:hAnsi="仿宋" w:eastAsia="仿宋" w:cs="仿宋"/>
          <w:kern w:val="0"/>
          <w:sz w:val="28"/>
          <w:szCs w:val="28"/>
        </w:rPr>
        <w:t>级专业人才培养方案修订工作于</w:t>
      </w:r>
      <w:r>
        <w:rPr>
          <w:rFonts w:ascii="仿宋" w:hAnsi="仿宋" w:eastAsia="仿宋" w:cs="仿宋"/>
          <w:kern w:val="0"/>
          <w:sz w:val="28"/>
          <w:szCs w:val="28"/>
        </w:rPr>
        <w:t>2016</w:t>
      </w:r>
      <w:r>
        <w:rPr>
          <w:rFonts w:hint="eastAsia" w:ascii="仿宋" w:hAnsi="仿宋" w:eastAsia="仿宋" w:cs="仿宋"/>
          <w:kern w:val="0"/>
          <w:sz w:val="28"/>
          <w:szCs w:val="28"/>
        </w:rPr>
        <w:t>年</w:t>
      </w:r>
      <w:r>
        <w:rPr>
          <w:rFonts w:ascii="仿宋" w:hAnsi="仿宋" w:eastAsia="仿宋" w:cs="仿宋"/>
          <w:kern w:val="0"/>
          <w:sz w:val="28"/>
          <w:szCs w:val="28"/>
        </w:rPr>
        <w:t>11</w:t>
      </w:r>
      <w:r>
        <w:rPr>
          <w:rFonts w:hint="eastAsia" w:ascii="仿宋" w:hAnsi="仿宋" w:eastAsia="仿宋" w:cs="仿宋"/>
          <w:kern w:val="0"/>
          <w:sz w:val="28"/>
          <w:szCs w:val="28"/>
        </w:rPr>
        <w:t>月结束，</w:t>
      </w:r>
      <w:r>
        <w:rPr>
          <w:rFonts w:ascii="仿宋" w:hAnsi="仿宋" w:eastAsia="仿宋" w:cs="仿宋"/>
          <w:kern w:val="0"/>
          <w:sz w:val="28"/>
          <w:szCs w:val="28"/>
        </w:rPr>
        <w:t xml:space="preserve"> 12</w:t>
      </w:r>
      <w:r>
        <w:rPr>
          <w:rFonts w:hint="eastAsia" w:ascii="仿宋" w:hAnsi="仿宋" w:eastAsia="仿宋" w:cs="仿宋"/>
          <w:kern w:val="0"/>
          <w:sz w:val="28"/>
          <w:szCs w:val="28"/>
        </w:rPr>
        <w:t>月底前完成院系审定和学校审定工作。</w:t>
      </w:r>
    </w:p>
    <w:p>
      <w:pPr>
        <w:widowControl/>
        <w:snapToGrid w:val="0"/>
        <w:ind w:firstLine="480"/>
        <w:jc w:val="left"/>
        <w:rPr>
          <w:rFonts w:ascii="仿宋" w:hAnsi="仿宋" w:eastAsia="仿宋"/>
          <w:kern w:val="0"/>
          <w:sz w:val="28"/>
          <w:szCs w:val="28"/>
        </w:rPr>
      </w:pPr>
      <w:r>
        <w:rPr>
          <w:rFonts w:ascii="仿宋" w:hAnsi="仿宋" w:eastAsia="仿宋" w:cs="仿宋"/>
          <w:kern w:val="0"/>
          <w:sz w:val="28"/>
          <w:szCs w:val="28"/>
        </w:rPr>
        <w:t>4</w:t>
      </w:r>
      <w:r>
        <w:rPr>
          <w:rFonts w:hint="eastAsia" w:ascii="仿宋" w:hAnsi="仿宋" w:eastAsia="仿宋" w:cs="仿宋"/>
          <w:kern w:val="0"/>
          <w:sz w:val="28"/>
          <w:szCs w:val="28"/>
        </w:rPr>
        <w:t>、各专业在制定或修订人才培养方案过程中，注重文字、符号、时间编写的规范。如遇到与原则意见相冲突的问题，与教务处协调解决。</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3</w:t>
    </w:r>
    <w:r>
      <w:rPr>
        <w:rStyle w:val="5"/>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4BE5"/>
    <w:rsid w:val="00017707"/>
    <w:rsid w:val="00025701"/>
    <w:rsid w:val="00026F9E"/>
    <w:rsid w:val="000300F8"/>
    <w:rsid w:val="00031199"/>
    <w:rsid w:val="00072467"/>
    <w:rsid w:val="000765A4"/>
    <w:rsid w:val="00080E90"/>
    <w:rsid w:val="00082006"/>
    <w:rsid w:val="00095218"/>
    <w:rsid w:val="00107331"/>
    <w:rsid w:val="00115603"/>
    <w:rsid w:val="001625B5"/>
    <w:rsid w:val="00177256"/>
    <w:rsid w:val="00184753"/>
    <w:rsid w:val="001B282C"/>
    <w:rsid w:val="001B4386"/>
    <w:rsid w:val="001B7ADC"/>
    <w:rsid w:val="001D52B1"/>
    <w:rsid w:val="001E3E4A"/>
    <w:rsid w:val="0025012A"/>
    <w:rsid w:val="00260C38"/>
    <w:rsid w:val="002817BD"/>
    <w:rsid w:val="002B2225"/>
    <w:rsid w:val="002C078D"/>
    <w:rsid w:val="002E0570"/>
    <w:rsid w:val="00300F51"/>
    <w:rsid w:val="00315F9C"/>
    <w:rsid w:val="00321006"/>
    <w:rsid w:val="00322ABF"/>
    <w:rsid w:val="00340CFD"/>
    <w:rsid w:val="00342F01"/>
    <w:rsid w:val="00365CAA"/>
    <w:rsid w:val="00372D7D"/>
    <w:rsid w:val="003936A1"/>
    <w:rsid w:val="003975B0"/>
    <w:rsid w:val="003C106E"/>
    <w:rsid w:val="003C6C42"/>
    <w:rsid w:val="00400887"/>
    <w:rsid w:val="00401D8F"/>
    <w:rsid w:val="0041492E"/>
    <w:rsid w:val="004229CC"/>
    <w:rsid w:val="00463D96"/>
    <w:rsid w:val="00464311"/>
    <w:rsid w:val="00472BD0"/>
    <w:rsid w:val="00473199"/>
    <w:rsid w:val="00476DE9"/>
    <w:rsid w:val="004978A7"/>
    <w:rsid w:val="004A058F"/>
    <w:rsid w:val="004A2C8D"/>
    <w:rsid w:val="004C4F8C"/>
    <w:rsid w:val="004D4F41"/>
    <w:rsid w:val="004F0847"/>
    <w:rsid w:val="004F40C0"/>
    <w:rsid w:val="00517A52"/>
    <w:rsid w:val="00542BF6"/>
    <w:rsid w:val="00552EA3"/>
    <w:rsid w:val="00553EFF"/>
    <w:rsid w:val="00556484"/>
    <w:rsid w:val="00564761"/>
    <w:rsid w:val="0058653F"/>
    <w:rsid w:val="005B3B53"/>
    <w:rsid w:val="005B5BB4"/>
    <w:rsid w:val="005D0E5A"/>
    <w:rsid w:val="005F21D6"/>
    <w:rsid w:val="00627738"/>
    <w:rsid w:val="00642368"/>
    <w:rsid w:val="006713EF"/>
    <w:rsid w:val="0067795E"/>
    <w:rsid w:val="00683AC3"/>
    <w:rsid w:val="006C724A"/>
    <w:rsid w:val="006E6E31"/>
    <w:rsid w:val="006F1FF6"/>
    <w:rsid w:val="0072744F"/>
    <w:rsid w:val="0073437B"/>
    <w:rsid w:val="007730F5"/>
    <w:rsid w:val="0077761A"/>
    <w:rsid w:val="00780A16"/>
    <w:rsid w:val="0079061E"/>
    <w:rsid w:val="007A7BAD"/>
    <w:rsid w:val="007C121A"/>
    <w:rsid w:val="007E587C"/>
    <w:rsid w:val="007E7A49"/>
    <w:rsid w:val="008444FD"/>
    <w:rsid w:val="00844A1C"/>
    <w:rsid w:val="00871C62"/>
    <w:rsid w:val="008B1799"/>
    <w:rsid w:val="008B3423"/>
    <w:rsid w:val="008C19B6"/>
    <w:rsid w:val="008E0C5A"/>
    <w:rsid w:val="00902B5E"/>
    <w:rsid w:val="00912B81"/>
    <w:rsid w:val="0091614F"/>
    <w:rsid w:val="009437FB"/>
    <w:rsid w:val="0094793E"/>
    <w:rsid w:val="00947AFD"/>
    <w:rsid w:val="009750FC"/>
    <w:rsid w:val="009A1B18"/>
    <w:rsid w:val="009A7E8A"/>
    <w:rsid w:val="00A141C9"/>
    <w:rsid w:val="00A17C28"/>
    <w:rsid w:val="00A36642"/>
    <w:rsid w:val="00A46CC9"/>
    <w:rsid w:val="00A931C8"/>
    <w:rsid w:val="00A9636B"/>
    <w:rsid w:val="00AE0ED4"/>
    <w:rsid w:val="00B043F9"/>
    <w:rsid w:val="00B073D6"/>
    <w:rsid w:val="00B329BE"/>
    <w:rsid w:val="00B62F8D"/>
    <w:rsid w:val="00B90146"/>
    <w:rsid w:val="00BC1531"/>
    <w:rsid w:val="00BE24A1"/>
    <w:rsid w:val="00BE5858"/>
    <w:rsid w:val="00BF59F5"/>
    <w:rsid w:val="00C1410F"/>
    <w:rsid w:val="00C17D63"/>
    <w:rsid w:val="00C2668A"/>
    <w:rsid w:val="00CB7E15"/>
    <w:rsid w:val="00CC4EDA"/>
    <w:rsid w:val="00CC572D"/>
    <w:rsid w:val="00CD7F86"/>
    <w:rsid w:val="00CE31F3"/>
    <w:rsid w:val="00CF5E84"/>
    <w:rsid w:val="00D04BE5"/>
    <w:rsid w:val="00D076EE"/>
    <w:rsid w:val="00D13559"/>
    <w:rsid w:val="00D2772D"/>
    <w:rsid w:val="00D34B10"/>
    <w:rsid w:val="00D462D7"/>
    <w:rsid w:val="00D57072"/>
    <w:rsid w:val="00D65A39"/>
    <w:rsid w:val="00D76437"/>
    <w:rsid w:val="00D913B8"/>
    <w:rsid w:val="00DA099E"/>
    <w:rsid w:val="00DD46CC"/>
    <w:rsid w:val="00DE3C09"/>
    <w:rsid w:val="00E27E6F"/>
    <w:rsid w:val="00E4505A"/>
    <w:rsid w:val="00E60D78"/>
    <w:rsid w:val="00E64990"/>
    <w:rsid w:val="00E66F71"/>
    <w:rsid w:val="00E678BD"/>
    <w:rsid w:val="00E827A2"/>
    <w:rsid w:val="00E90FA0"/>
    <w:rsid w:val="00EA5AFE"/>
    <w:rsid w:val="00ED3FC7"/>
    <w:rsid w:val="00ED6E57"/>
    <w:rsid w:val="00F16B13"/>
    <w:rsid w:val="00F2747A"/>
    <w:rsid w:val="00F27788"/>
    <w:rsid w:val="00F33186"/>
    <w:rsid w:val="00F56632"/>
    <w:rsid w:val="00F7458D"/>
    <w:rsid w:val="00F93B38"/>
    <w:rsid w:val="00F97004"/>
    <w:rsid w:val="00FC30E9"/>
    <w:rsid w:val="00FD0C68"/>
    <w:rsid w:val="00FD5BE5"/>
    <w:rsid w:val="00FF6047"/>
    <w:rsid w:val="2A854CC0"/>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style>
  <w:style w:type="character" w:customStyle="1" w:styleId="7">
    <w:name w:val="页眉 Char"/>
    <w:basedOn w:val="4"/>
    <w:link w:val="3"/>
    <w:semiHidden/>
    <w:locked/>
    <w:uiPriority w:val="99"/>
    <w:rPr>
      <w:rFonts w:ascii="Times New Roman" w:hAnsi="Times New Roman" w:eastAsia="宋体" w:cs="Times New Roman"/>
      <w:sz w:val="18"/>
      <w:szCs w:val="18"/>
    </w:rPr>
  </w:style>
  <w:style w:type="character" w:customStyle="1" w:styleId="8">
    <w:name w:val="页脚 Char"/>
    <w:basedOn w:val="4"/>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569</Words>
  <Characters>3246</Characters>
  <Lines>27</Lines>
  <Paragraphs>7</Paragraphs>
  <TotalTime>0</TotalTime>
  <ScaleCrop>false</ScaleCrop>
  <LinksUpToDate>false</LinksUpToDate>
  <CharactersWithSpaces>3808</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2016-08-25T08:27:00Z</dcterms:created>
  <dc:creator>邹琼</dc:creator>
  <cp:lastModifiedBy>曾宪群</cp:lastModifiedBy>
  <dcterms:modified xsi:type="dcterms:W3CDTF">2016-09-19T09:10:34Z</dcterms:modified>
  <dc:title>关于修订2015级本科人才培养方案的原则意见</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