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微软雅黑" w:hAnsi="微软雅黑" w:eastAsia="微软雅黑"/>
          <w:color w:val="303030"/>
          <w:sz w:val="28"/>
          <w:szCs w:val="28"/>
        </w:rPr>
      </w:pPr>
      <w:r>
        <w:rPr>
          <w:rFonts w:hint="eastAsia" w:ascii="微软雅黑" w:hAnsi="微软雅黑" w:eastAsia="微软雅黑"/>
          <w:color w:val="303030"/>
          <w:sz w:val="28"/>
          <w:szCs w:val="28"/>
        </w:rPr>
        <w:t>专业负责人</w:t>
      </w:r>
      <w:r>
        <w:rPr>
          <w:rFonts w:ascii="微软雅黑" w:hAnsi="微软雅黑" w:eastAsia="微软雅黑"/>
          <w:color w:val="303030"/>
          <w:sz w:val="28"/>
          <w:szCs w:val="28"/>
        </w:rPr>
        <w:t>简易使用手册</w:t>
      </w:r>
    </w:p>
    <w:p>
      <w:pPr>
        <w:spacing w:line="276" w:lineRule="auto"/>
        <w:jc w:val="center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编制时间</w:t>
      </w:r>
      <w:r>
        <w:rPr>
          <w:rFonts w:hint="eastAsia" w:ascii="微软雅黑" w:hAnsi="微软雅黑" w:eastAsia="微软雅黑"/>
        </w:rPr>
        <w:t>：2</w:t>
      </w:r>
      <w:r>
        <w:rPr>
          <w:rFonts w:ascii="微软雅黑" w:hAnsi="微软雅黑" w:eastAsia="微软雅黑"/>
        </w:rPr>
        <w:t>018年</w:t>
      </w:r>
      <w:r>
        <w:rPr>
          <w:rFonts w:hint="eastAsia" w:ascii="微软雅黑" w:hAnsi="微软雅黑" w:eastAsia="微软雅黑"/>
        </w:rPr>
        <w:t>9月</w:t>
      </w:r>
    </w:p>
    <w:sdt>
      <w:sdtPr>
        <w:rPr>
          <w:rFonts w:asciiTheme="minorHAnsi" w:hAnsiTheme="minorHAnsi" w:eastAsiaTheme="minorEastAsia" w:cstheme="minorBidi"/>
          <w:b w:val="0"/>
          <w:color w:val="auto"/>
          <w:kern w:val="2"/>
          <w:sz w:val="21"/>
          <w:szCs w:val="22"/>
          <w:lang w:val="zh-CN"/>
        </w:rPr>
        <w:id w:val="1651405760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/>
          <w:color w:val="auto"/>
          <w:kern w:val="2"/>
          <w:sz w:val="21"/>
          <w:szCs w:val="22"/>
          <w:lang w:val="zh-CN"/>
        </w:rPr>
      </w:sdtEndPr>
      <w:sdtContent>
        <w:p>
          <w:pPr>
            <w:pStyle w:val="20"/>
            <w:jc w:val="center"/>
            <w:rPr>
              <w:b w:val="0"/>
              <w:color w:val="auto"/>
            </w:rPr>
          </w:pPr>
          <w:r>
            <w:rPr>
              <w:b w:val="0"/>
              <w:color w:val="auto"/>
              <w:lang w:val="zh-CN"/>
            </w:rPr>
            <w:t>目录</w:t>
          </w:r>
        </w:p>
        <w:p>
          <w:pPr>
            <w:pStyle w:val="9"/>
            <w:tabs>
              <w:tab w:val="right" w:leader="dot" w:pos="8296"/>
            </w:tabs>
          </w:pPr>
          <w:r>
            <w:rPr>
              <w:b/>
              <w:bCs/>
              <w:lang w:val="zh-CN"/>
            </w:rPr>
            <w:fldChar w:fldCharType="begin"/>
          </w:r>
          <w:r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r>
            <w:fldChar w:fldCharType="begin"/>
          </w:r>
          <w:r>
            <w:instrText xml:space="preserve"> HYPERLINK \l "_Toc523926048" </w:instrText>
          </w:r>
          <w:r>
            <w:fldChar w:fldCharType="separate"/>
          </w:r>
          <w:r>
            <w:rPr>
              <w:rStyle w:val="12"/>
              <w:rFonts w:hint="eastAsia"/>
            </w:rPr>
            <w:t>第</w:t>
          </w:r>
          <w:r>
            <w:rPr>
              <w:rStyle w:val="12"/>
            </w:rPr>
            <w:t>1</w:t>
          </w:r>
          <w:r>
            <w:rPr>
              <w:rStyle w:val="12"/>
              <w:rFonts w:hint="eastAsia"/>
            </w:rPr>
            <w:t>部分</w:t>
          </w:r>
          <w:r>
            <w:rPr>
              <w:rStyle w:val="12"/>
            </w:rPr>
            <w:t xml:space="preserve"> </w:t>
          </w:r>
          <w:r>
            <w:rPr>
              <w:rStyle w:val="12"/>
              <w:rFonts w:hint="eastAsia"/>
            </w:rPr>
            <w:t>专业负责人使用流程</w:t>
          </w:r>
          <w:r>
            <w:tab/>
          </w:r>
          <w:r>
            <w:fldChar w:fldCharType="begin"/>
          </w:r>
          <w:r>
            <w:instrText xml:space="preserve"> PAGEREF _Toc523926048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"_Toc523926049" </w:instrText>
          </w:r>
          <w:r>
            <w:fldChar w:fldCharType="separate"/>
          </w:r>
          <w:r>
            <w:rPr>
              <w:rStyle w:val="12"/>
              <w:rFonts w:hint="eastAsia"/>
            </w:rPr>
            <w:t>第</w:t>
          </w:r>
          <w:r>
            <w:rPr>
              <w:rStyle w:val="12"/>
            </w:rPr>
            <w:t>2</w:t>
          </w:r>
          <w:r>
            <w:rPr>
              <w:rStyle w:val="12"/>
              <w:rFonts w:hint="eastAsia"/>
            </w:rPr>
            <w:t>部分</w:t>
          </w:r>
          <w:r>
            <w:rPr>
              <w:rStyle w:val="12"/>
            </w:rPr>
            <w:t xml:space="preserve"> </w:t>
          </w:r>
          <w:r>
            <w:rPr>
              <w:rStyle w:val="12"/>
              <w:rFonts w:hint="eastAsia"/>
            </w:rPr>
            <w:t>专业负责人功能操作指南</w:t>
          </w:r>
          <w:r>
            <w:tab/>
          </w:r>
          <w:r>
            <w:fldChar w:fldCharType="begin"/>
          </w:r>
          <w:r>
            <w:instrText xml:space="preserve"> PAGEREF _Toc523926049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"_Toc523926050" </w:instrText>
          </w:r>
          <w:r>
            <w:fldChar w:fldCharType="separate"/>
          </w:r>
          <w:r>
            <w:rPr>
              <w:rStyle w:val="12"/>
            </w:rPr>
            <w:t>2.1</w:t>
          </w:r>
          <w:r>
            <w:rPr>
              <w:rStyle w:val="12"/>
              <w:rFonts w:hint="eastAsia"/>
            </w:rPr>
            <w:t>专业负责人登录和用户设置</w:t>
          </w:r>
          <w:r>
            <w:tab/>
          </w:r>
          <w:r>
            <w:fldChar w:fldCharType="begin"/>
          </w:r>
          <w:r>
            <w:instrText xml:space="preserve"> PAGEREF _Toc523926050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"_Toc523926051" </w:instrText>
          </w:r>
          <w:r>
            <w:fldChar w:fldCharType="separate"/>
          </w:r>
          <w:r>
            <w:rPr>
              <w:rStyle w:val="12"/>
            </w:rPr>
            <w:t>2.1.1</w:t>
          </w:r>
          <w:r>
            <w:rPr>
              <w:rStyle w:val="12"/>
              <w:rFonts w:hint="eastAsia"/>
            </w:rPr>
            <w:t>登录系统</w:t>
          </w:r>
          <w:r>
            <w:tab/>
          </w:r>
          <w:r>
            <w:fldChar w:fldCharType="begin"/>
          </w:r>
          <w:r>
            <w:instrText xml:space="preserve"> PAGEREF _Toc523926051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"_Toc523926052" </w:instrText>
          </w:r>
          <w:r>
            <w:fldChar w:fldCharType="separate"/>
          </w:r>
          <w:r>
            <w:rPr>
              <w:rStyle w:val="12"/>
            </w:rPr>
            <w:t>2.1.2</w:t>
          </w:r>
          <w:r>
            <w:rPr>
              <w:rStyle w:val="12"/>
              <w:rFonts w:hint="eastAsia"/>
            </w:rPr>
            <w:t>首次登录强制修改密码</w:t>
          </w:r>
          <w:r>
            <w:tab/>
          </w:r>
          <w:r>
            <w:fldChar w:fldCharType="begin"/>
          </w:r>
          <w:r>
            <w:instrText xml:space="preserve"> PAGEREF _Toc523926052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"_Toc523926053" </w:instrText>
          </w:r>
          <w:r>
            <w:fldChar w:fldCharType="separate"/>
          </w:r>
          <w:r>
            <w:rPr>
              <w:rStyle w:val="12"/>
            </w:rPr>
            <w:t>2.1.3</w:t>
          </w:r>
          <w:r>
            <w:rPr>
              <w:rStyle w:val="12"/>
              <w:rFonts w:hint="eastAsia"/>
            </w:rPr>
            <w:t>查看负责专业</w:t>
          </w:r>
          <w:r>
            <w:tab/>
          </w:r>
          <w:r>
            <w:fldChar w:fldCharType="begin"/>
          </w:r>
          <w:r>
            <w:instrText xml:space="preserve"> PAGEREF _Toc523926053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"_Toc523926054" </w:instrText>
          </w:r>
          <w:r>
            <w:fldChar w:fldCharType="separate"/>
          </w:r>
          <w:r>
            <w:rPr>
              <w:rStyle w:val="12"/>
            </w:rPr>
            <w:t>2.1.4</w:t>
          </w:r>
          <w:r>
            <w:rPr>
              <w:rStyle w:val="12"/>
              <w:rFonts w:hint="eastAsia"/>
            </w:rPr>
            <w:t>用户设置</w:t>
          </w:r>
          <w:r>
            <w:tab/>
          </w:r>
          <w:r>
            <w:fldChar w:fldCharType="begin"/>
          </w:r>
          <w:r>
            <w:instrText xml:space="preserve"> PAGEREF _Toc523926054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"_Toc523926055" </w:instrText>
          </w:r>
          <w:r>
            <w:fldChar w:fldCharType="separate"/>
          </w:r>
          <w:r>
            <w:rPr>
              <w:rStyle w:val="12"/>
            </w:rPr>
            <w:t>2.2</w:t>
          </w:r>
          <w:r>
            <w:rPr>
              <w:rStyle w:val="12"/>
              <w:rFonts w:hint="eastAsia"/>
            </w:rPr>
            <w:t>审核课题</w:t>
          </w:r>
          <w:r>
            <w:tab/>
          </w:r>
          <w:r>
            <w:fldChar w:fldCharType="begin"/>
          </w:r>
          <w:r>
            <w:instrText xml:space="preserve"> PAGEREF _Toc523926055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"_Toc523926056" </w:instrText>
          </w:r>
          <w:r>
            <w:fldChar w:fldCharType="separate"/>
          </w:r>
          <w:r>
            <w:rPr>
              <w:rStyle w:val="12"/>
            </w:rPr>
            <w:t>2.2.1</w:t>
          </w:r>
          <w:r>
            <w:rPr>
              <w:rStyle w:val="12"/>
              <w:rFonts w:hint="eastAsia"/>
            </w:rPr>
            <w:t>专业负责人自己审核课题</w:t>
          </w:r>
          <w:r>
            <w:tab/>
          </w:r>
          <w:r>
            <w:fldChar w:fldCharType="begin"/>
          </w:r>
          <w:r>
            <w:instrText xml:space="preserve"> PAGEREF _Toc523926056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"_Toc523926057" </w:instrText>
          </w:r>
          <w:r>
            <w:fldChar w:fldCharType="separate"/>
          </w:r>
          <w:r>
            <w:rPr>
              <w:rStyle w:val="12"/>
            </w:rPr>
            <w:t>2.2.2</w:t>
          </w:r>
          <w:r>
            <w:rPr>
              <w:rStyle w:val="12"/>
              <w:rFonts w:hint="eastAsia"/>
            </w:rPr>
            <w:t>分配给导师审核课题</w:t>
          </w:r>
          <w:r>
            <w:tab/>
          </w:r>
          <w:r>
            <w:fldChar w:fldCharType="begin"/>
          </w:r>
          <w:r>
            <w:instrText xml:space="preserve"> PAGEREF _Toc523926057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"_Toc523926058" </w:instrText>
          </w:r>
          <w:r>
            <w:fldChar w:fldCharType="separate"/>
          </w:r>
          <w:r>
            <w:rPr>
              <w:rStyle w:val="12"/>
            </w:rPr>
            <w:t>2.2.3</w:t>
          </w:r>
          <w:r>
            <w:rPr>
              <w:rStyle w:val="12"/>
              <w:rFonts w:hint="eastAsia"/>
            </w:rPr>
            <w:t>查看申请修改课题</w:t>
          </w:r>
          <w:r>
            <w:tab/>
          </w:r>
          <w:r>
            <w:fldChar w:fldCharType="begin"/>
          </w:r>
          <w:r>
            <w:instrText xml:space="preserve"> PAGEREF _Toc523926058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"_Toc523926059" </w:instrText>
          </w:r>
          <w:r>
            <w:fldChar w:fldCharType="separate"/>
          </w:r>
          <w:r>
            <w:rPr>
              <w:rStyle w:val="12"/>
            </w:rPr>
            <w:t>2.2.4</w:t>
          </w:r>
          <w:r>
            <w:rPr>
              <w:rStyle w:val="12"/>
              <w:rFonts w:hint="eastAsia"/>
            </w:rPr>
            <w:t>查看师生双选关系</w:t>
          </w:r>
          <w:r>
            <w:tab/>
          </w:r>
          <w:r>
            <w:fldChar w:fldCharType="begin"/>
          </w:r>
          <w:r>
            <w:instrText xml:space="preserve"> PAGEREF _Toc523926059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"_Toc523926060" </w:instrText>
          </w:r>
          <w:r>
            <w:fldChar w:fldCharType="separate"/>
          </w:r>
          <w:r>
            <w:rPr>
              <w:rStyle w:val="12"/>
            </w:rPr>
            <w:t>2.3</w:t>
          </w:r>
          <w:r>
            <w:rPr>
              <w:rStyle w:val="12"/>
              <w:rFonts w:hint="eastAsia"/>
            </w:rPr>
            <w:t>审核任务书</w:t>
          </w:r>
          <w:r>
            <w:tab/>
          </w:r>
          <w:r>
            <w:fldChar w:fldCharType="begin"/>
          </w:r>
          <w:r>
            <w:instrText xml:space="preserve"> PAGEREF _Toc523926060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"_Toc523926061" </w:instrText>
          </w:r>
          <w:r>
            <w:fldChar w:fldCharType="separate"/>
          </w:r>
          <w:r>
            <w:rPr>
              <w:rStyle w:val="12"/>
            </w:rPr>
            <w:t>2.4</w:t>
          </w:r>
          <w:r>
            <w:rPr>
              <w:rStyle w:val="12"/>
              <w:rFonts w:hint="eastAsia"/>
            </w:rPr>
            <w:t>查看过程文档</w:t>
          </w:r>
          <w:r>
            <w:tab/>
          </w:r>
          <w:r>
            <w:fldChar w:fldCharType="begin"/>
          </w:r>
          <w:r>
            <w:instrText xml:space="preserve"> PAGEREF _Toc523926061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"_Toc523926062" </w:instrText>
          </w:r>
          <w:r>
            <w:fldChar w:fldCharType="separate"/>
          </w:r>
          <w:r>
            <w:rPr>
              <w:rStyle w:val="12"/>
            </w:rPr>
            <w:t>2.4.1</w:t>
          </w:r>
          <w:r>
            <w:rPr>
              <w:rStyle w:val="12"/>
              <w:rFonts w:hint="eastAsia"/>
            </w:rPr>
            <w:t>查看过程文档</w:t>
          </w:r>
          <w:r>
            <w:tab/>
          </w:r>
          <w:r>
            <w:fldChar w:fldCharType="begin"/>
          </w:r>
          <w:r>
            <w:instrText xml:space="preserve"> PAGEREF _Toc523926062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"_Toc523926063" </w:instrText>
          </w:r>
          <w:r>
            <w:fldChar w:fldCharType="separate"/>
          </w:r>
          <w:r>
            <w:rPr>
              <w:rStyle w:val="12"/>
            </w:rPr>
            <w:t>2.4.2</w:t>
          </w:r>
          <w:r>
            <w:rPr>
              <w:rStyle w:val="12"/>
              <w:rFonts w:hint="eastAsia"/>
            </w:rPr>
            <w:t>审核过程文档</w:t>
          </w:r>
          <w:r>
            <w:tab/>
          </w:r>
          <w:r>
            <w:fldChar w:fldCharType="begin"/>
          </w:r>
          <w:r>
            <w:instrText xml:space="preserve"> PAGEREF _Toc523926063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"_Toc523926064" </w:instrText>
          </w:r>
          <w:r>
            <w:fldChar w:fldCharType="separate"/>
          </w:r>
          <w:r>
            <w:rPr>
              <w:rStyle w:val="12"/>
            </w:rPr>
            <w:t>2.4.3</w:t>
          </w:r>
          <w:r>
            <w:rPr>
              <w:rStyle w:val="12"/>
              <w:rFonts w:hint="eastAsia"/>
            </w:rPr>
            <w:t>提交中期检查</w:t>
          </w:r>
          <w:r>
            <w:tab/>
          </w:r>
          <w:r>
            <w:fldChar w:fldCharType="begin"/>
          </w:r>
          <w:r>
            <w:instrText xml:space="preserve"> PAGEREF _Toc523926064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"_Toc523926065" </w:instrText>
          </w:r>
          <w:r>
            <w:fldChar w:fldCharType="separate"/>
          </w:r>
          <w:r>
            <w:rPr>
              <w:rStyle w:val="12"/>
            </w:rPr>
            <w:t>2.4.4</w:t>
          </w:r>
          <w:r>
            <w:rPr>
              <w:rStyle w:val="12"/>
              <w:rFonts w:hint="eastAsia"/>
            </w:rPr>
            <w:t>查看毕业设计（论文）</w:t>
          </w:r>
          <w:r>
            <w:tab/>
          </w:r>
          <w:r>
            <w:fldChar w:fldCharType="begin"/>
          </w:r>
          <w:r>
            <w:instrText xml:space="preserve"> PAGEREF _Toc523926065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"_Toc523926066" </w:instrText>
          </w:r>
          <w:r>
            <w:fldChar w:fldCharType="separate"/>
          </w:r>
          <w:r>
            <w:rPr>
              <w:rStyle w:val="12"/>
            </w:rPr>
            <w:t>2.5</w:t>
          </w:r>
          <w:r>
            <w:rPr>
              <w:rStyle w:val="12"/>
              <w:rFonts w:hint="eastAsia"/>
            </w:rPr>
            <w:t>开题答辩模块</w:t>
          </w:r>
          <w:r>
            <w:tab/>
          </w:r>
          <w:r>
            <w:fldChar w:fldCharType="begin"/>
          </w:r>
          <w:r>
            <w:instrText xml:space="preserve"> PAGEREF _Toc523926066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"_Toc523926067" </w:instrText>
          </w:r>
          <w:r>
            <w:fldChar w:fldCharType="separate"/>
          </w:r>
          <w:r>
            <w:rPr>
              <w:rStyle w:val="12"/>
            </w:rPr>
            <w:t>2.5.1</w:t>
          </w:r>
          <w:r>
            <w:rPr>
              <w:rStyle w:val="12"/>
              <w:rFonts w:hint="eastAsia"/>
            </w:rPr>
            <w:t>开题答辩安排</w:t>
          </w:r>
          <w:r>
            <w:tab/>
          </w:r>
          <w:r>
            <w:fldChar w:fldCharType="begin"/>
          </w:r>
          <w:r>
            <w:instrText xml:space="preserve"> PAGEREF _Toc523926067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"_Toc523926068" </w:instrText>
          </w:r>
          <w:r>
            <w:fldChar w:fldCharType="separate"/>
          </w:r>
          <w:r>
            <w:rPr>
              <w:rStyle w:val="12"/>
            </w:rPr>
            <w:t>2.5.2</w:t>
          </w:r>
          <w:r>
            <w:rPr>
              <w:rStyle w:val="12"/>
              <w:rFonts w:hint="eastAsia"/>
            </w:rPr>
            <w:t>参与开题答辩</w:t>
          </w:r>
          <w:r>
            <w:tab/>
          </w:r>
          <w:r>
            <w:fldChar w:fldCharType="begin"/>
          </w:r>
          <w:r>
            <w:instrText xml:space="preserve"> PAGEREF _Toc523926068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"_Toc523926069" </w:instrText>
          </w:r>
          <w:r>
            <w:fldChar w:fldCharType="separate"/>
          </w:r>
          <w:r>
            <w:rPr>
              <w:rStyle w:val="12"/>
            </w:rPr>
            <w:t>2.6</w:t>
          </w:r>
          <w:r>
            <w:rPr>
              <w:rStyle w:val="12"/>
              <w:rFonts w:hint="eastAsia"/>
            </w:rPr>
            <w:t>评阅学生或分配导师评阅学生</w:t>
          </w:r>
          <w:r>
            <w:tab/>
          </w:r>
          <w:r>
            <w:fldChar w:fldCharType="begin"/>
          </w:r>
          <w:r>
            <w:instrText xml:space="preserve"> PAGEREF _Toc523926069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"_Toc523926070" </w:instrText>
          </w:r>
          <w:r>
            <w:fldChar w:fldCharType="separate"/>
          </w:r>
          <w:r>
            <w:rPr>
              <w:rStyle w:val="12"/>
            </w:rPr>
            <w:t>2.6.1</w:t>
          </w:r>
          <w:r>
            <w:rPr>
              <w:rStyle w:val="12"/>
              <w:rFonts w:hint="eastAsia"/>
            </w:rPr>
            <w:t>评阅学生</w:t>
          </w:r>
          <w:r>
            <w:tab/>
          </w:r>
          <w:r>
            <w:fldChar w:fldCharType="begin"/>
          </w:r>
          <w:r>
            <w:instrText xml:space="preserve"> PAGEREF _Toc523926070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"_Toc523926071" </w:instrText>
          </w:r>
          <w:r>
            <w:fldChar w:fldCharType="separate"/>
          </w:r>
          <w:r>
            <w:rPr>
              <w:rStyle w:val="12"/>
            </w:rPr>
            <w:t>2.6.2</w:t>
          </w:r>
          <w:r>
            <w:rPr>
              <w:rStyle w:val="12"/>
              <w:rFonts w:hint="eastAsia"/>
            </w:rPr>
            <w:t>分配导师评阅学生</w:t>
          </w:r>
          <w:r>
            <w:tab/>
          </w:r>
          <w:r>
            <w:fldChar w:fldCharType="begin"/>
          </w:r>
          <w:r>
            <w:instrText xml:space="preserve"> PAGEREF _Toc523926071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"_Toc523926072" </w:instrText>
          </w:r>
          <w:r>
            <w:fldChar w:fldCharType="separate"/>
          </w:r>
          <w:r>
            <w:rPr>
              <w:rStyle w:val="12"/>
            </w:rPr>
            <w:t>2.7</w:t>
          </w:r>
          <w:r>
            <w:rPr>
              <w:rStyle w:val="12"/>
              <w:rFonts w:hint="eastAsia"/>
            </w:rPr>
            <w:t>为学生分配评阅专家</w:t>
          </w:r>
          <w:r>
            <w:tab/>
          </w:r>
          <w:r>
            <w:fldChar w:fldCharType="begin"/>
          </w:r>
          <w:r>
            <w:instrText xml:space="preserve"> PAGEREF _Toc523926072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"_Toc523926073" </w:instrText>
          </w:r>
          <w:r>
            <w:fldChar w:fldCharType="separate"/>
          </w:r>
          <w:r>
            <w:rPr>
              <w:rStyle w:val="12"/>
            </w:rPr>
            <w:t>2.8</w:t>
          </w:r>
          <w:r>
            <w:rPr>
              <w:rStyle w:val="12"/>
              <w:rFonts w:hint="eastAsia"/>
            </w:rPr>
            <w:t>答辩模块</w:t>
          </w:r>
          <w:r>
            <w:tab/>
          </w:r>
          <w:r>
            <w:fldChar w:fldCharType="begin"/>
          </w:r>
          <w:r>
            <w:instrText xml:space="preserve"> PAGEREF _Toc523926073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"_Toc523926074" </w:instrText>
          </w:r>
          <w:r>
            <w:fldChar w:fldCharType="separate"/>
          </w:r>
          <w:r>
            <w:rPr>
              <w:rStyle w:val="12"/>
            </w:rPr>
            <w:t>2.8.1</w:t>
          </w:r>
          <w:r>
            <w:rPr>
              <w:rStyle w:val="12"/>
              <w:rFonts w:hint="eastAsia"/>
            </w:rPr>
            <w:t>师生答辩安排</w:t>
          </w:r>
          <w:r>
            <w:tab/>
          </w:r>
          <w:r>
            <w:fldChar w:fldCharType="begin"/>
          </w:r>
          <w:r>
            <w:instrText xml:space="preserve"> PAGEREF _Toc523926074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"_Toc523926075" </w:instrText>
          </w:r>
          <w:r>
            <w:fldChar w:fldCharType="separate"/>
          </w:r>
          <w:r>
            <w:rPr>
              <w:rStyle w:val="12"/>
            </w:rPr>
            <w:t>2.8.2</w:t>
          </w:r>
          <w:r>
            <w:rPr>
              <w:rStyle w:val="12"/>
              <w:rFonts w:hint="eastAsia"/>
            </w:rPr>
            <w:t>参与答辩</w:t>
          </w:r>
          <w:r>
            <w:tab/>
          </w:r>
          <w:r>
            <w:fldChar w:fldCharType="begin"/>
          </w:r>
          <w:r>
            <w:instrText xml:space="preserve"> PAGEREF _Toc523926075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"_Toc523926076" </w:instrText>
          </w:r>
          <w:r>
            <w:fldChar w:fldCharType="separate"/>
          </w:r>
          <w:r>
            <w:rPr>
              <w:rStyle w:val="12"/>
            </w:rPr>
            <w:t>2.9</w:t>
          </w:r>
          <w:r>
            <w:rPr>
              <w:rStyle w:val="12"/>
              <w:rFonts w:hint="eastAsia"/>
            </w:rPr>
            <w:t>审核答辩成绩</w:t>
          </w:r>
          <w:r>
            <w:tab/>
          </w:r>
          <w:r>
            <w:fldChar w:fldCharType="begin"/>
          </w:r>
          <w:r>
            <w:instrText xml:space="preserve"> PAGEREF _Toc523926076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"_Toc523926077" </w:instrText>
          </w:r>
          <w:r>
            <w:fldChar w:fldCharType="separate"/>
          </w:r>
          <w:r>
            <w:rPr>
              <w:rStyle w:val="12"/>
            </w:rPr>
            <w:t>2.10</w:t>
          </w:r>
          <w:r>
            <w:rPr>
              <w:rStyle w:val="12"/>
              <w:rFonts w:hint="eastAsia"/>
            </w:rPr>
            <w:t>查看学生成绩</w:t>
          </w:r>
          <w:r>
            <w:tab/>
          </w:r>
          <w:r>
            <w:fldChar w:fldCharType="begin"/>
          </w:r>
          <w:r>
            <w:instrText xml:space="preserve"> PAGEREF _Toc523926077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"_Toc523926078" </w:instrText>
          </w:r>
          <w:r>
            <w:fldChar w:fldCharType="separate"/>
          </w:r>
          <w:r>
            <w:rPr>
              <w:rStyle w:val="12"/>
            </w:rPr>
            <w:t>2.11</w:t>
          </w:r>
          <w:r>
            <w:rPr>
              <w:rStyle w:val="12"/>
              <w:rFonts w:hint="eastAsia"/>
            </w:rPr>
            <w:t>参与前期、中期、后期检查</w:t>
          </w:r>
          <w:r>
            <w:tab/>
          </w:r>
          <w:r>
            <w:fldChar w:fldCharType="begin"/>
          </w:r>
          <w:r>
            <w:instrText xml:space="preserve"> PAGEREF _Toc523926078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spacing w:line="276" w:lineRule="auto"/>
      </w:pPr>
    </w:p>
    <w:p>
      <w:pPr>
        <w:spacing w:line="276" w:lineRule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2" w:after="156" w:line="276" w:lineRule="auto"/>
      </w:pPr>
      <w:bookmarkStart w:id="0" w:name="_Toc523926048"/>
      <w:r>
        <w:t>第</w:t>
      </w:r>
      <w:r>
        <w:rPr>
          <w:rFonts w:hint="eastAsia"/>
        </w:rPr>
        <w:t>1部分 专业负责人</w:t>
      </w:r>
      <w:r>
        <w:t>使用流程</w:t>
      </w:r>
      <w:bookmarkEnd w:id="0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“专业负责人”</w:t>
      </w:r>
      <w:r>
        <w:rPr>
          <w:color w:val="303030"/>
        </w:rPr>
        <w:t>角色使用流程主要包括以下内容</w:t>
      </w:r>
      <w:r>
        <w:rPr>
          <w:rFonts w:hint="eastAsia"/>
          <w:color w:val="303030"/>
        </w:rPr>
        <w:t>：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→→→1登录系统和用户设置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→→→2审核课题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→→→3审核任务书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→→→4开题答辩模块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→→→5查看过程文档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→→→6评阅或安排导师评阅学生</w:t>
      </w:r>
    </w:p>
    <w:p>
      <w:pPr>
        <w:spacing w:line="276" w:lineRule="auto"/>
        <w:ind w:firstLine="420" w:firstLineChars="200"/>
        <w:rPr>
          <w:rFonts w:hint="eastAsia"/>
          <w:color w:val="303030"/>
        </w:rPr>
      </w:pPr>
      <w:r>
        <w:rPr>
          <w:rFonts w:hint="eastAsia"/>
          <w:color w:val="303030"/>
        </w:rPr>
        <w:t>→→→7</w:t>
      </w:r>
      <w:r>
        <w:rPr>
          <w:color w:val="303030"/>
        </w:rPr>
        <w:t>为学生分配评阅专家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→→→8答辩模块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→→→9审核答辩成绩（配）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10</w:t>
      </w:r>
      <w:r>
        <w:rPr>
          <w:rFonts w:hint="eastAsia"/>
          <w:color w:val="303030"/>
        </w:rPr>
        <w:t>查看学生成绩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11参与前期</w:t>
      </w:r>
      <w:r>
        <w:rPr>
          <w:rFonts w:hint="eastAsia"/>
          <w:color w:val="303030"/>
        </w:rPr>
        <w:t>、</w:t>
      </w:r>
      <w:r>
        <w:rPr>
          <w:color w:val="303030"/>
        </w:rPr>
        <w:t>中期</w:t>
      </w:r>
      <w:r>
        <w:rPr>
          <w:rFonts w:hint="eastAsia"/>
          <w:color w:val="303030"/>
        </w:rPr>
        <w:t>、</w:t>
      </w:r>
      <w:r>
        <w:rPr>
          <w:color w:val="303030"/>
        </w:rPr>
        <w:t>后期检查</w:t>
      </w:r>
    </w:p>
    <w:p>
      <w:pPr>
        <w:spacing w:line="276" w:lineRule="auto"/>
        <w:ind w:firstLine="420" w:firstLineChars="200"/>
        <w:rPr>
          <w:color w:val="3030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2" w:after="156" w:line="276" w:lineRule="auto"/>
      </w:pPr>
      <w:bookmarkStart w:id="1" w:name="_Toc523926049"/>
      <w:r>
        <w:t>第2</w:t>
      </w:r>
      <w:r>
        <w:rPr>
          <w:rFonts w:hint="eastAsia"/>
        </w:rPr>
        <w:t>部分 专业负责人</w:t>
      </w:r>
      <w:r>
        <w:t>功能操作指南</w:t>
      </w:r>
      <w:bookmarkEnd w:id="1"/>
      <w:bookmarkStart w:id="34" w:name="_GoBack"/>
      <w:bookmarkEnd w:id="34"/>
    </w:p>
    <w:p>
      <w:pPr>
        <w:pStyle w:val="3"/>
      </w:pPr>
      <w:bookmarkStart w:id="2" w:name="_Toc523926050"/>
      <w:r>
        <w:t>2.1</w:t>
      </w:r>
      <w:r>
        <w:rPr>
          <w:rFonts w:hint="eastAsia"/>
        </w:rPr>
        <w:t>专业负责人</w:t>
      </w:r>
      <w:r>
        <w:t>登录和</w:t>
      </w:r>
      <w:r>
        <w:rPr>
          <w:rFonts w:hint="eastAsia"/>
        </w:rPr>
        <w:t>用户设置</w:t>
      </w:r>
      <w:bookmarkEnd w:id="2"/>
    </w:p>
    <w:p>
      <w:pPr>
        <w:pStyle w:val="4"/>
        <w:spacing w:before="156" w:after="156"/>
        <w:rPr>
          <w:rFonts w:hint="eastAsia" w:eastAsia="宋体"/>
          <w:lang w:eastAsia="zh-CN"/>
        </w:rPr>
      </w:pPr>
      <w:bookmarkStart w:id="3" w:name="_Toc523926051"/>
      <w:r>
        <w:t>2.1.1登录系统</w:t>
      </w:r>
      <w:bookmarkEnd w:id="3"/>
      <w:r>
        <w:rPr>
          <w:rFonts w:hint="eastAsia"/>
          <w:lang w:eastAsia="zh-CN"/>
        </w:rPr>
        <w:t>：http://dgut.co.cnki.net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1步：打开登录页面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2步：选择登录方式（账号密码登录或者已绑定微信登录）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3步：输入账号密码或者使用微信“扫一扫”功能，登录系统（选“教师”类型）</w:t>
      </w:r>
    </w:p>
    <w:p>
      <w:pPr>
        <w:spacing w:line="276" w:lineRule="auto"/>
        <w:ind w:firstLine="420" w:firstLineChars="200"/>
        <w:rPr>
          <w:color w:val="303030"/>
        </w:rPr>
      </w:pPr>
      <w:r>
        <w:drawing>
          <wp:inline distT="0" distB="0" distL="0" distR="0">
            <wp:extent cx="3360420" cy="1560830"/>
            <wp:effectExtent l="76200" t="57150" r="68580" b="584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6008" cy="156838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4步：选择“专业负责人”角色进入系统</w:t>
      </w:r>
    </w:p>
    <w:p>
      <w:pPr>
        <w:pStyle w:val="4"/>
        <w:spacing w:before="156" w:after="156"/>
      </w:pPr>
      <w:bookmarkStart w:id="4" w:name="_Toc523926052"/>
      <w:r>
        <w:t>2.1.2首次登录强制修改密码</w:t>
      </w:r>
      <w:bookmarkEnd w:id="4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1步：使用初始账号密码登录成功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2步：修改密码（须与初始密码不同），成功后会自动退出系统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3步：使用新修改的密码重新登录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</w:t>
      </w:r>
      <w:r>
        <w:rPr>
          <w:color w:val="303030"/>
        </w:rPr>
        <w:t>非首次登录无须该项操作</w:t>
      </w:r>
    </w:p>
    <w:p>
      <w:pPr>
        <w:pStyle w:val="4"/>
        <w:spacing w:before="156" w:after="156"/>
      </w:pPr>
      <w:bookmarkStart w:id="5" w:name="_Toc523926053"/>
      <w:r>
        <w:rPr>
          <w:rFonts w:hint="eastAsia"/>
        </w:rPr>
        <w:t>2</w:t>
      </w:r>
      <w:r>
        <w:t>.1.3查看负责专业</w:t>
      </w:r>
      <w:bookmarkEnd w:id="5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</w:t>
      </w:r>
      <w:r>
        <w:rPr>
          <w:color w:val="303030"/>
        </w:rPr>
        <w:t>在页面右上角</w:t>
      </w:r>
      <w:r>
        <w:rPr>
          <w:rFonts w:hint="eastAsia"/>
          <w:color w:val="303030"/>
        </w:rPr>
        <w:t>，</w:t>
      </w:r>
      <w:r>
        <w:rPr>
          <w:color w:val="303030"/>
        </w:rPr>
        <w:t>展示了专业负责人负责的专业信息</w:t>
      </w:r>
      <w:r>
        <w:rPr>
          <w:rFonts w:hint="eastAsia"/>
          <w:color w:val="303030"/>
        </w:rPr>
        <w:t>，</w:t>
      </w:r>
      <w:r>
        <w:rPr>
          <w:color w:val="303030"/>
        </w:rPr>
        <w:t>点击可以查看当前用户具体负责</w:t>
      </w:r>
      <w:r>
        <w:rPr>
          <w:rFonts w:hint="eastAsia"/>
          <w:color w:val="303030"/>
        </w:rPr>
        <w:t>那</w:t>
      </w:r>
      <w:r>
        <w:rPr>
          <w:color w:val="303030"/>
        </w:rPr>
        <w:t>些或者那个专业</w:t>
      </w:r>
    </w:p>
    <w:p>
      <w:pPr>
        <w:spacing w:line="276" w:lineRule="auto"/>
        <w:ind w:firstLine="420" w:firstLineChars="200"/>
        <w:rPr>
          <w:color w:val="303030"/>
        </w:rPr>
      </w:pPr>
      <w:r>
        <w:drawing>
          <wp:inline distT="0" distB="0" distL="0" distR="0">
            <wp:extent cx="2657475" cy="383540"/>
            <wp:effectExtent l="76200" t="57150" r="66675" b="546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31378" cy="39446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</w:pPr>
      <w:bookmarkStart w:id="6" w:name="_Toc523926054"/>
      <w:r>
        <w:rPr>
          <w:rFonts w:hint="eastAsia"/>
        </w:rPr>
        <w:t>2</w:t>
      </w:r>
      <w:r>
        <w:t>.1</w:t>
      </w:r>
      <w:r>
        <w:rPr>
          <w:rFonts w:hint="eastAsia"/>
        </w:rPr>
        <w:t>.</w:t>
      </w:r>
      <w:r>
        <w:t>4用户设置</w:t>
      </w:r>
      <w:bookmarkEnd w:id="6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用户设置可以进行密码修改和进行个人信息维护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725930" cy="927735"/>
            <wp:effectExtent l="57150" t="57150" r="64770" b="6286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5022" cy="94931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7" w:name="_Toc523926055"/>
      <w:r>
        <w:t>2.2</w:t>
      </w:r>
      <w:r>
        <w:rPr>
          <w:rFonts w:hint="eastAsia"/>
        </w:rPr>
        <w:t>审核课题</w:t>
      </w:r>
      <w:bookmarkEnd w:id="7"/>
    </w:p>
    <w:p>
      <w:pPr>
        <w:pStyle w:val="4"/>
        <w:spacing w:before="156" w:after="156"/>
      </w:pPr>
      <w:bookmarkStart w:id="8" w:name="_Toc523926056"/>
      <w:r>
        <w:rPr>
          <w:rFonts w:hint="eastAsia"/>
        </w:rPr>
        <w:t>2</w:t>
      </w:r>
      <w:r>
        <w:t>.2.1专业负责人自己审核课题</w:t>
      </w:r>
      <w:bookmarkEnd w:id="8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步：选择“师生双选管理-审核课题”打开页面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834515" cy="708660"/>
            <wp:effectExtent l="57150" t="57150" r="51435" b="5334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3130" cy="71228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步：选择“等待审核”的课题，点击“查看详情”进入内容页查看并审核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097530" cy="433070"/>
            <wp:effectExtent l="76200" t="57150" r="83820" b="6223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1267" cy="43929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步：输入审核意见内容，进行审核（审核区域支持自定义，可能看到的内容不一样，请注意）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791335" cy="2611755"/>
            <wp:effectExtent l="57150" t="76200" r="56515" b="7429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3930" cy="261480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第4</w:t>
      </w:r>
      <w:r>
        <w:rPr>
          <w:rFonts w:hint="eastAsia" w:asciiTheme="minorEastAsia" w:hAnsiTheme="minorEastAsia"/>
          <w:color w:val="303030"/>
        </w:rPr>
        <w:t>步：返回查看审核情况及其他操作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297430" cy="889000"/>
            <wp:effectExtent l="57150" t="57150" r="83820" b="6350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24317" cy="89944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若专业负责人是最终审核人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可以</w:t>
      </w:r>
      <w:r>
        <w:rPr>
          <w:rFonts w:hint="eastAsia" w:asciiTheme="minorEastAsia" w:hAnsiTheme="minorEastAsia"/>
          <w:color w:val="303030"/>
        </w:rPr>
        <w:t>“允许修改”课题，给申报人1次修改权限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若配置了其他角色的审核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按照配置审核继续进行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*支持批量审核课题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66240" cy="828040"/>
            <wp:effectExtent l="57150" t="57150" r="48260" b="4826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66667" cy="82857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*已经审核通过的，专业负责人可以进行“修改审核内容”的操作，点击后可以对“审核意见”的内容进行修改（审核状态不可更改）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80210" cy="907415"/>
            <wp:effectExtent l="57150" t="57150" r="53340" b="6413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01643" cy="91901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</w:pPr>
      <w:bookmarkStart w:id="9" w:name="_Toc523926057"/>
      <w:r>
        <w:rPr>
          <w:rFonts w:hint="eastAsia"/>
        </w:rPr>
        <w:t>2</w:t>
      </w:r>
      <w:r>
        <w:t>.2.2分配给导师审核课题</w:t>
      </w:r>
      <w:bookmarkEnd w:id="9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*专业负责人可以将课题分配给导师进行审核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步：选择需要分配给导师审核的课题，点击“分配给导师审核”按钮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451860" cy="796925"/>
            <wp:effectExtent l="76200" t="57150" r="72390" b="603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2026" cy="79944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步：选择将哪些课题分配给哪些指导教师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400425" cy="1330325"/>
            <wp:effectExtent l="76200" t="57150" r="66675" b="603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09062" cy="133432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*支持跨院系安排教师审核，可以下拉“院系”查看别的院系的教师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默认排除当前进行分配操作的教师</w:t>
      </w:r>
      <w:r>
        <w:rPr>
          <w:rFonts w:hint="eastAsia" w:asciiTheme="minorEastAsia" w:hAnsiTheme="minorEastAsia"/>
          <w:color w:val="303030"/>
        </w:rPr>
        <w:t>、</w:t>
      </w:r>
      <w:r>
        <w:rPr>
          <w:rFonts w:asciiTheme="minorEastAsia" w:hAnsiTheme="minorEastAsia"/>
          <w:color w:val="303030"/>
        </w:rPr>
        <w:t>排除学生对应的导师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可以筛选去除该限制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步：返回列表查看安排的审核人及其审核情况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虽分配给了导师审核课题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若专业部负责人仍想要自己审核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也是可以的</w:t>
      </w:r>
      <w:r>
        <w:rPr>
          <w:rFonts w:hint="eastAsia" w:asciiTheme="minorEastAsia" w:hAnsiTheme="minorEastAsia"/>
          <w:color w:val="303030"/>
        </w:rPr>
        <w:t>（直接在详情页面进行审核即可）</w:t>
      </w:r>
    </w:p>
    <w:p>
      <w:pPr>
        <w:pStyle w:val="4"/>
        <w:spacing w:before="156" w:after="156"/>
      </w:pPr>
      <w:bookmarkStart w:id="10" w:name="_Toc523926058"/>
      <w:r>
        <w:rPr>
          <w:rFonts w:hint="eastAsia"/>
        </w:rPr>
        <w:t>2</w:t>
      </w:r>
      <w:r>
        <w:t>.2.3查看申请修改课题</w:t>
      </w:r>
      <w:bookmarkEnd w:id="10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*若学校或者院系采用的是“经申请修改课题”的模式，则专业负责人页面会出现“查看申请修改课题信息”页面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若同时配置了需要专业负责人进行审核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则需要进行有关操作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第1步</w:t>
      </w:r>
      <w:r>
        <w:rPr>
          <w:rFonts w:hint="eastAsia" w:asciiTheme="minorEastAsia" w:hAnsiTheme="minorEastAsia"/>
          <w:color w:val="303030"/>
        </w:rPr>
        <w:t>：选择“师生双选管理-查看申请修改课题信息”打开页面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908175" cy="1016635"/>
            <wp:effectExtent l="57150" t="57150" r="53975" b="501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25385" cy="102593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：查看已经提交申请的课题，若需要审核，则点击详情进行审核操作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629025" cy="488315"/>
            <wp:effectExtent l="76200" t="57150" r="66675" b="641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68926" cy="49389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</w:pPr>
      <w:bookmarkStart w:id="11" w:name="_Toc523926059"/>
      <w:r>
        <w:rPr>
          <w:rFonts w:hint="eastAsia"/>
        </w:rPr>
        <w:t>2</w:t>
      </w:r>
      <w:r>
        <w:t>.2.4查看师生双选关系</w:t>
      </w:r>
      <w:bookmarkEnd w:id="11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*选择“师生双选管理-查看师生双选关系”打开页面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43050" cy="1368425"/>
            <wp:effectExtent l="57150" t="57150" r="57150" b="603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50759" cy="137530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*“查看师生双选关系”的页面，展示的是已经选择课题的学生和课题信息，以及选题的进展情况</w:t>
      </w:r>
    </w:p>
    <w:p>
      <w:pPr>
        <w:pStyle w:val="3"/>
      </w:pPr>
      <w:bookmarkStart w:id="12" w:name="_Toc523926060"/>
      <w:r>
        <w:rPr>
          <w:rFonts w:hint="eastAsia"/>
        </w:rPr>
        <w:t>2</w:t>
      </w:r>
      <w:r>
        <w:t>.3审核任务书</w:t>
      </w:r>
      <w:bookmarkEnd w:id="12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若学校或者学院设置了需要专业负责人审核任务书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则需要进行系列操作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第1步：选择“师生双管管理-审核任务书”打开页面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43050" cy="848360"/>
            <wp:effectExtent l="57150" t="57150" r="57150" b="660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51224" cy="85286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2</w:t>
      </w:r>
      <w:r>
        <w:rPr>
          <w:rFonts w:hint="eastAsia" w:asciiTheme="minorEastAsia" w:hAnsiTheme="minorEastAsia"/>
          <w:color w:val="303030"/>
        </w:rPr>
        <w:t>步：查看列表数据（可查看由谁提交的及审核状态等），选择需要审核的任务书，点击“查看详情”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956050" cy="448310"/>
            <wp:effectExtent l="95250" t="57150" r="101600" b="660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63669" cy="46086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3</w:t>
      </w:r>
      <w:r>
        <w:rPr>
          <w:rFonts w:hint="eastAsia" w:asciiTheme="minorEastAsia" w:hAnsiTheme="minorEastAsia"/>
          <w:color w:val="303030"/>
        </w:rPr>
        <w:t>步：在打开的详情页面上，核查各项信息，并输入审核意见进行审核（可以审核通过或者要求返回修改）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764665" cy="1615440"/>
            <wp:effectExtent l="57150" t="57150" r="64135" b="6096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89761" cy="163881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4</w:t>
      </w:r>
      <w:r>
        <w:rPr>
          <w:rFonts w:hint="eastAsia" w:asciiTheme="minorEastAsia" w:hAnsiTheme="minorEastAsia"/>
          <w:color w:val="303030"/>
        </w:rPr>
        <w:t>步：返回列表查看审核后的数据各项情况</w:t>
      </w:r>
    </w:p>
    <w:p>
      <w:pPr>
        <w:pStyle w:val="3"/>
      </w:pPr>
      <w:bookmarkStart w:id="13" w:name="_Toc523926061"/>
      <w:r>
        <w:rPr>
          <w:rFonts w:hint="eastAsia"/>
        </w:rPr>
        <w:t>2</w:t>
      </w:r>
      <w:r>
        <w:t>.4查看过程文档</w:t>
      </w:r>
      <w:bookmarkEnd w:id="13"/>
    </w:p>
    <w:p>
      <w:pPr>
        <w:pStyle w:val="4"/>
        <w:spacing w:before="156" w:after="156"/>
      </w:pPr>
      <w:bookmarkStart w:id="14" w:name="_Toc523926062"/>
      <w:r>
        <w:rPr>
          <w:rFonts w:hint="eastAsia"/>
        </w:rPr>
        <w:t>2</w:t>
      </w:r>
      <w:r>
        <w:t>.4.1查看过程文档</w:t>
      </w:r>
      <w:bookmarkEnd w:id="14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*因查看各个过程文档的操作类型，下述步骤适用于各过程文档的查看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第1步：选择“过程文档管理”下设各个二级页面，分别点击进行查看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25270" cy="1932305"/>
            <wp:effectExtent l="57150" t="76200" r="55880" b="679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47217" cy="196021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2</w:t>
      </w:r>
      <w:r>
        <w:rPr>
          <w:rFonts w:hint="eastAsia" w:asciiTheme="minorEastAsia" w:hAnsiTheme="minorEastAsia"/>
          <w:color w:val="303030"/>
        </w:rPr>
        <w:t>步：查看列表显示数据，选择需要查看详情的学生，点击操作列的“详情”打开详情页面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页面上方提供了各种查询条件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可以根据需要筛选查询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525395" cy="809625"/>
            <wp:effectExtent l="57150" t="57150" r="84455" b="476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77274" cy="82611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3</w:t>
      </w:r>
      <w:r>
        <w:rPr>
          <w:rFonts w:hint="eastAsia" w:asciiTheme="minorEastAsia" w:hAnsiTheme="minorEastAsia"/>
          <w:color w:val="303030"/>
        </w:rPr>
        <w:t>步：在打开的详情页面，查看各项内容</w:t>
      </w:r>
    </w:p>
    <w:p>
      <w:pPr>
        <w:pStyle w:val="4"/>
        <w:spacing w:before="156" w:after="156"/>
      </w:pPr>
      <w:bookmarkStart w:id="15" w:name="_Toc523926063"/>
      <w:r>
        <w:rPr>
          <w:rFonts w:hint="eastAsia"/>
        </w:rPr>
        <w:t>2</w:t>
      </w:r>
      <w:r>
        <w:t>.4.2审核过程文档</w:t>
      </w:r>
      <w:bookmarkEnd w:id="15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若配置了专业负责人的审核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则需要在详情页面进行审核操作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第1步：选择“过程文档管理”下设各个二级页面，并点击“详细”进入内容页面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2</w:t>
      </w:r>
      <w:r>
        <w:rPr>
          <w:rFonts w:hint="eastAsia" w:asciiTheme="minorEastAsia" w:hAnsiTheme="minorEastAsia"/>
          <w:color w:val="303030"/>
        </w:rPr>
        <w:t>步：进行审核操作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3</w:t>
      </w:r>
      <w:r>
        <w:rPr>
          <w:rFonts w:hint="eastAsia" w:asciiTheme="minorEastAsia" w:hAnsiTheme="minorEastAsia"/>
          <w:color w:val="303030"/>
        </w:rPr>
        <w:t>步：返回列表查看审核结果</w:t>
      </w:r>
    </w:p>
    <w:p>
      <w:pPr>
        <w:pStyle w:val="4"/>
        <w:spacing w:before="156" w:after="156"/>
      </w:pPr>
      <w:bookmarkStart w:id="16" w:name="_Toc523926064"/>
      <w:r>
        <w:t>2.4.3提交中期检查</w:t>
      </w:r>
      <w:bookmarkEnd w:id="16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*中期检查模块比较特殊，可能存在需要专业负责人进行填写提交而并不是审核的操作，此时操作步骤为：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第1步：选择“过程文档管理-查看中期检查”打开页面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475105" cy="857885"/>
            <wp:effectExtent l="57150" t="57150" r="48895" b="5651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82013" cy="86204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2</w:t>
      </w:r>
      <w:r>
        <w:rPr>
          <w:rFonts w:hint="eastAsia" w:asciiTheme="minorEastAsia" w:hAnsiTheme="minorEastAsia"/>
          <w:color w:val="303030"/>
        </w:rPr>
        <w:t>步：在列表中，选择“未提交”或者“专业负责人未提交”状态的数据，点击提交进入详情内容页面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064385" cy="537845"/>
            <wp:effectExtent l="76200" t="57150" r="69215" b="527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07455" cy="54921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此时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一般是配置的</w:t>
      </w:r>
      <w:r>
        <w:rPr>
          <w:rFonts w:hint="eastAsia" w:asciiTheme="minorEastAsia" w:hAnsiTheme="minorEastAsia"/>
          <w:color w:val="303030"/>
        </w:rPr>
        <w:t>“不审核”的模式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3</w:t>
      </w:r>
      <w:r>
        <w:rPr>
          <w:rFonts w:hint="eastAsia" w:asciiTheme="minorEastAsia" w:hAnsiTheme="minorEastAsia"/>
          <w:color w:val="303030"/>
        </w:rPr>
        <w:t>步：在详情页面输入内容提交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035685" cy="1508760"/>
            <wp:effectExtent l="57150" t="57150" r="50165" b="533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46630" cy="152472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</w:rPr>
        <w:t>4步：返回列表查看审核结果</w:t>
      </w:r>
    </w:p>
    <w:p>
      <w:pPr>
        <w:pStyle w:val="4"/>
        <w:spacing w:before="156" w:after="156"/>
      </w:pPr>
      <w:bookmarkStart w:id="17" w:name="_Toc523926065"/>
      <w:r>
        <w:rPr>
          <w:rFonts w:hint="eastAsia"/>
        </w:rPr>
        <w:t>2</w:t>
      </w:r>
      <w:r>
        <w:t>.4.4查看毕业设计</w:t>
      </w:r>
      <w:r>
        <w:rPr>
          <w:rFonts w:hint="eastAsia"/>
        </w:rPr>
        <w:t>（论文）</w:t>
      </w:r>
      <w:bookmarkEnd w:id="17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*查看学生提交的毕业设计（论文）相较于其他过程文档，有其特殊之处，此处单独进行说明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步：选择“过程文档管理-查看毕业设计（论文）”打开页面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356995" cy="1694180"/>
            <wp:effectExtent l="57150" t="57150" r="52705" b="5842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75407" cy="171650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步：在列表页面通过查询、翻页等方式，查看和查找需要进行操作或者详细查看的数据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3202940" cy="742950"/>
            <wp:effectExtent l="76200" t="57150" r="73660" b="571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31204" cy="75003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如专业负责人有查看检测结果的权限</w:t>
      </w:r>
      <w:r>
        <w:rPr>
          <w:rFonts w:hint="eastAsia"/>
        </w:rPr>
        <w:t>，</w:t>
      </w:r>
      <w:r>
        <w:t>则可以查看检测结果和报告单</w:t>
      </w:r>
      <w:r>
        <w:rPr>
          <w:rFonts w:hint="eastAsia"/>
        </w:rPr>
        <w:t>，</w:t>
      </w:r>
      <w:r>
        <w:t>列表提供信息展示</w:t>
      </w:r>
    </w:p>
    <w:p>
      <w:pPr>
        <w:spacing w:line="276" w:lineRule="auto"/>
        <w:ind w:firstLine="420" w:firstLineChars="200"/>
      </w:pPr>
      <w:r>
        <w:rPr>
          <w:rFonts w:hint="eastAsia"/>
        </w:rPr>
        <w:t>*若显示“无权查看”表示专业负责人被所在学校设置了不能查看检测结果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步：详情操作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可点击</w:t>
      </w:r>
      <w:r>
        <w:rPr>
          <w:rFonts w:hint="eastAsia" w:asciiTheme="minorEastAsia" w:hAnsiTheme="minorEastAsia"/>
          <w:color w:val="303030"/>
        </w:rPr>
        <w:t>“详情”打开详情页面，查看检测结果并进行“下载原文”“进行批注”和“查看检测结果”详情的操作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2844165" cy="645795"/>
            <wp:effectExtent l="76200" t="57150" r="70485" b="590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52592" cy="64772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列表选择报告单</w:t>
      </w:r>
      <w:r>
        <w:rPr>
          <w:rFonts w:hint="eastAsia"/>
        </w:rPr>
        <w:t>，</w:t>
      </w:r>
      <w:r>
        <w:t>支持下拉选择某一种报告单下载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914400" cy="1144270"/>
            <wp:effectExtent l="57150" t="57150" r="57150" b="558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27700" cy="116134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若需要选择部分数据或者全部数据批量生产和下载报告单</w:t>
      </w:r>
      <w:r>
        <w:rPr>
          <w:rFonts w:hint="eastAsia"/>
        </w:rPr>
        <w:t>，</w:t>
      </w:r>
      <w:r>
        <w:t>可在列表左上角点击</w:t>
      </w:r>
      <w:r>
        <w:rPr>
          <w:rFonts w:hint="eastAsia"/>
        </w:rPr>
        <w:t>“生成全部文献报告单”“生成选中文献报告单”并在处理完成后点“下载报告单”将报告单下载到本地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2176145" cy="285750"/>
            <wp:effectExtent l="57150" t="57150" r="71755" b="5715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69172" cy="29792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*可以按照检测的次序进行查询，系统默认展示的是学生“最新一次”的检测数据，可以下拉筛选、查询和选择处理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616710" cy="967105"/>
            <wp:effectExtent l="57150" t="57150" r="59690" b="6159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46038" cy="98497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18" w:name="_Toc523926066"/>
      <w:r>
        <w:rPr>
          <w:rFonts w:hint="eastAsia"/>
        </w:rPr>
        <w:t>2</w:t>
      </w:r>
      <w:r>
        <w:t>.5</w:t>
      </w:r>
      <w:r>
        <w:rPr>
          <w:rFonts w:hint="eastAsia"/>
        </w:rPr>
        <w:t>开题答辩模块</w:t>
      </w:r>
      <w:bookmarkEnd w:id="18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t>若学校或者院系设置的</w:t>
      </w:r>
      <w:r>
        <w:rPr>
          <w:rFonts w:hint="eastAsia"/>
        </w:rPr>
        <w:t>“安排开题答辩、评阅专家和答辩组”角色是专业负责人，则可以进行以下开题答辩的安排操作：</w:t>
      </w:r>
      <w:r>
        <w:rPr>
          <w:rFonts w:asciiTheme="minorEastAsia" w:hAnsiTheme="minorEastAsia"/>
          <w:color w:val="303030"/>
        </w:rPr>
        <w:t xml:space="preserve"> </w:t>
      </w:r>
    </w:p>
    <w:p>
      <w:pPr>
        <w:pStyle w:val="4"/>
        <w:spacing w:before="156" w:after="156"/>
      </w:pPr>
      <w:bookmarkStart w:id="19" w:name="_Toc523925608"/>
      <w:bookmarkStart w:id="20" w:name="_Toc523926067"/>
      <w:r>
        <w:rPr>
          <w:rFonts w:hint="eastAsia"/>
        </w:rPr>
        <w:t>2</w:t>
      </w:r>
      <w:r>
        <w:t>.5.1开题答辩安排</w:t>
      </w:r>
      <w:bookmarkEnd w:id="19"/>
      <w:bookmarkEnd w:id="20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步：选择“开题答辩-开题答辩安排”打开页面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11300" cy="572135"/>
            <wp:effectExtent l="57150" t="57150" r="50800" b="565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52030" cy="58742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步：进行开题答辩的安排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若是新添加开题答辩组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则点击列表左上角的</w:t>
      </w:r>
      <w:r>
        <w:rPr>
          <w:rFonts w:hint="eastAsia" w:asciiTheme="minorEastAsia" w:hAnsiTheme="minorEastAsia"/>
          <w:color w:val="303030"/>
        </w:rPr>
        <w:t>“添加开题答辩组”按钮，打开页面，选择需要参加开题答辩的学生、教师，提交即可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04315" cy="580390"/>
            <wp:effectExtent l="57150" t="57150" r="57785" b="482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58095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若是在已有的开题答辩组内新增学生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则选择列表中已经建好的开题答辩组</w:t>
      </w:r>
      <w:r>
        <w:rPr>
          <w:rFonts w:hint="eastAsia" w:asciiTheme="minorEastAsia" w:hAnsiTheme="minorEastAsia"/>
          <w:color w:val="303030"/>
        </w:rPr>
        <w:t>，点击“修改”按钮，进行修改（点击“答辩组学生”列的数字可以查看对应组内已有的具体学生）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00200" cy="1273175"/>
            <wp:effectExtent l="57150" t="57150" r="57150" b="603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06478" cy="127819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步：返回查看安排的情况（列表中点击“查看”）</w:t>
      </w:r>
    </w:p>
    <w:p>
      <w:pPr>
        <w:pStyle w:val="4"/>
        <w:spacing w:before="156" w:after="156"/>
        <w:rPr>
          <w:rFonts w:hint="eastAsia"/>
        </w:rPr>
      </w:pPr>
      <w:bookmarkStart w:id="21" w:name="_Toc523926068"/>
      <w:r>
        <w:rPr>
          <w:rFonts w:hint="eastAsia"/>
        </w:rPr>
        <w:t>2</w:t>
      </w:r>
      <w:r>
        <w:t>.5.2参与开题答辩</w:t>
      </w:r>
      <w:bookmarkEnd w:id="21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若根据学校的设置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需进行开题答辩环节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且院系已经安排了开题答辩组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需要专业负责人参与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则可以参与到</w:t>
      </w:r>
      <w:r>
        <w:rPr>
          <w:rFonts w:hint="eastAsia" w:asciiTheme="minorEastAsia" w:hAnsiTheme="minorEastAsia"/>
          <w:color w:val="303030"/>
        </w:rPr>
        <w:t>“开题答辩”中，具体包括“</w:t>
      </w:r>
      <w:r>
        <w:rPr>
          <w:rFonts w:asciiTheme="minorEastAsia" w:hAnsiTheme="minorEastAsia"/>
          <w:color w:val="303030"/>
        </w:rPr>
        <w:t>查看开题答辩安排</w:t>
      </w:r>
      <w:r>
        <w:rPr>
          <w:rFonts w:hint="eastAsia" w:asciiTheme="minorEastAsia" w:hAnsiTheme="minorEastAsia"/>
          <w:color w:val="303030"/>
        </w:rPr>
        <w:t>”和“查看开题答辩结论”2个模块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步：在“开题答辩”中打开“查看开题答辩安排”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454785" cy="796925"/>
            <wp:effectExtent l="57150" t="57150" r="50165" b="603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68814" cy="80491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步：线下参与开题答辩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步：查看开题答辩结论（等待答辩录入员录入之后）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692910" cy="1304290"/>
            <wp:effectExtent l="57150" t="57150" r="59690" b="482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11419" cy="131869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22" w:name="_Toc523926069"/>
      <w:r>
        <w:rPr>
          <w:rFonts w:hint="eastAsia"/>
        </w:rPr>
        <w:t>2</w:t>
      </w:r>
      <w:r>
        <w:t>.6</w:t>
      </w:r>
      <w:r>
        <w:rPr>
          <w:rFonts w:hint="eastAsia"/>
        </w:rPr>
        <w:t>评阅学生或分配导师评阅学生</w:t>
      </w:r>
      <w:bookmarkEnd w:id="22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*该功能模块支持2大类操作：专业负责人自己进行评阅，或者分配给导师进行交叉评阅</w:t>
      </w:r>
    </w:p>
    <w:p>
      <w:pPr>
        <w:pStyle w:val="4"/>
        <w:spacing w:before="156" w:after="156"/>
      </w:pPr>
      <w:bookmarkStart w:id="23" w:name="_Toc523926070"/>
      <w:r>
        <w:rPr>
          <w:rFonts w:hint="eastAsia"/>
        </w:rPr>
        <w:t>2</w:t>
      </w:r>
      <w:r>
        <w:t>.6.1评阅学生</w:t>
      </w:r>
      <w:bookmarkEnd w:id="23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步：选择“评审答辩和成绩管理-导师评阅学生”打开页面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423035" cy="515620"/>
            <wp:effectExtent l="57150" t="57150" r="62865" b="5588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59855" cy="52927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步：选择需要评审评分的学生，点击“查看详情”进入详情页面（若需要查看权重，点击“查看权重”按钮即可）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129915" cy="1000760"/>
            <wp:effectExtent l="76200" t="57150" r="70485" b="6604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144047" cy="100528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步：录入成绩、评语等内容，点击提交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录入评审结果后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如果</w:t>
      </w:r>
      <w:r>
        <w:rPr>
          <w:rFonts w:hint="eastAsia" w:asciiTheme="minorEastAsia" w:hAnsiTheme="minorEastAsia"/>
          <w:color w:val="303030"/>
        </w:rPr>
        <w:t>专业负责人</w:t>
      </w:r>
      <w:r>
        <w:rPr>
          <w:rFonts w:asciiTheme="minorEastAsia" w:hAnsiTheme="minorEastAsia"/>
          <w:color w:val="303030"/>
        </w:rPr>
        <w:t>仍有修改权限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可以点击</w:t>
      </w:r>
      <w:r>
        <w:rPr>
          <w:rFonts w:hint="eastAsia" w:asciiTheme="minorEastAsia" w:hAnsiTheme="minorEastAsia"/>
          <w:color w:val="303030"/>
        </w:rPr>
        <w:t>“查看详情”对学生的成绩和评语等内容进行修改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31950" cy="1778000"/>
            <wp:effectExtent l="57150" t="57150" r="63500" b="5080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53259" cy="180103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*若配置了分项打分表，则评分时将会分项打分，系统自动计算总分</w:t>
      </w:r>
    </w:p>
    <w:p>
      <w:pPr>
        <w:pStyle w:val="4"/>
        <w:spacing w:before="156" w:after="156"/>
      </w:pPr>
      <w:bookmarkStart w:id="24" w:name="_Toc523926071"/>
      <w:r>
        <w:rPr>
          <w:rFonts w:hint="eastAsia"/>
        </w:rPr>
        <w:t>2</w:t>
      </w:r>
      <w:r>
        <w:t>.6.2</w:t>
      </w:r>
      <w:r>
        <w:rPr>
          <w:rFonts w:hint="eastAsia"/>
        </w:rPr>
        <w:t>分配</w:t>
      </w:r>
      <w:r>
        <w:t>导师评阅学生</w:t>
      </w:r>
      <w:bookmarkEnd w:id="24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*若学校或者学院选择使用“由专业负责人安排导师进行评阅学生”，则专业负责人不能自己评阅，可以选择学生，将其安排给指导教师进行评阅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此种模式一般适合于</w:t>
      </w:r>
      <w:r>
        <w:rPr>
          <w:rFonts w:hint="eastAsia" w:asciiTheme="minorEastAsia" w:hAnsiTheme="minorEastAsia"/>
          <w:color w:val="303030"/>
        </w:rPr>
        <w:t>“交叉评阅”的需求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步：选择“评审答辩和成绩管理-评阅或分配导师评阅学生”打开页面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346200" cy="487680"/>
            <wp:effectExtent l="57150" t="57150" r="63500" b="6477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77881" cy="49955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步：在列表页面进行查询或者查看，根据不同的状态，可以进行不同的操作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4212590" cy="1738630"/>
            <wp:effectExtent l="76200" t="57150" r="92710" b="5207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228659" cy="174522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*若尚未将学生分配给导师评阅，可进行“添加”操作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若已经分配了导师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但导师尚未进行评分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可进行</w:t>
      </w:r>
      <w:r>
        <w:rPr>
          <w:rFonts w:hint="eastAsia" w:asciiTheme="minorEastAsia" w:hAnsiTheme="minorEastAsia"/>
          <w:color w:val="303030"/>
        </w:rPr>
        <w:t>“修改”或者“取消”操作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若被分配的导师已进行了评分操作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则不能再</w:t>
      </w:r>
      <w:r>
        <w:rPr>
          <w:rFonts w:hint="eastAsia" w:asciiTheme="minorEastAsia" w:hAnsiTheme="minorEastAsia"/>
          <w:color w:val="303030"/>
        </w:rPr>
        <w:t>“修改”或“取消”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点击</w:t>
      </w:r>
      <w:r>
        <w:rPr>
          <w:rFonts w:hint="eastAsia" w:asciiTheme="minorEastAsia" w:hAnsiTheme="minorEastAsia"/>
          <w:color w:val="303030"/>
        </w:rPr>
        <w:t>“查看详情”打开学生评分详情页查看（此时无须专业负责人进行评分，由被分配的导师评分即可）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854960" cy="876300"/>
            <wp:effectExtent l="76200" t="57150" r="78740" b="5715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865668" cy="87978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步：等待被分配的导师录完分返回结果后，可查看分数</w:t>
      </w:r>
    </w:p>
    <w:p>
      <w:pPr>
        <w:pStyle w:val="3"/>
      </w:pPr>
      <w:bookmarkStart w:id="25" w:name="_Toc523926072"/>
      <w:bookmarkStart w:id="26" w:name="_Toc523925610"/>
      <w:r>
        <w:rPr>
          <w:rFonts w:hint="eastAsia"/>
        </w:rPr>
        <w:t>2</w:t>
      </w:r>
      <w:r>
        <w:t>.7</w:t>
      </w:r>
      <w:r>
        <w:rPr>
          <w:rFonts w:hint="eastAsia"/>
        </w:rPr>
        <w:t>为学生分配评阅专家</w:t>
      </w:r>
      <w:bookmarkEnd w:id="25"/>
      <w:bookmarkEnd w:id="26"/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若学校或者院系设置的</w:t>
      </w:r>
      <w:r>
        <w:rPr>
          <w:rFonts w:hint="eastAsia"/>
        </w:rPr>
        <w:t>“安排开题答辩、评阅专家和答辩组”角色是专业负责人，则可以进行以下操作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步：选择“评审答辩和成绩管理-为学生分配评阅专家”打开页面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346200" cy="461010"/>
            <wp:effectExtent l="57150" t="57150" r="63500" b="5334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83303" cy="47396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步：在列表页面进行查询或者查看，根据不同的状态，可以进行不同的操作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286760" cy="1407795"/>
            <wp:effectExtent l="76200" t="57150" r="85090" b="5905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320512" cy="142239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尚未</w:t>
      </w:r>
      <w:r>
        <w:rPr>
          <w:rFonts w:hint="eastAsia" w:asciiTheme="minorEastAsia" w:hAnsiTheme="minorEastAsia"/>
          <w:color w:val="303030"/>
        </w:rPr>
        <w:t>分配</w:t>
      </w:r>
      <w:r>
        <w:rPr>
          <w:rFonts w:asciiTheme="minorEastAsia" w:hAnsiTheme="minorEastAsia"/>
          <w:color w:val="303030"/>
        </w:rPr>
        <w:t>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可以</w:t>
      </w:r>
      <w:r>
        <w:rPr>
          <w:rFonts w:hint="eastAsia" w:asciiTheme="minorEastAsia" w:hAnsiTheme="minorEastAsia"/>
          <w:color w:val="303030"/>
        </w:rPr>
        <w:t>“选择”进行分配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*已经分配尚未评分的，可以“取消”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已经分配且评分的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则不能再做修改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*若需要批量分配或者一键分配，可以点选列表左上角的按钮进行操作（一键分配前，需要设定一些规则）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979930" cy="362585"/>
            <wp:effectExtent l="76200" t="57150" r="77470" b="565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56311" cy="37661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步：在分配评阅专家的弹框页面，进行安排或者取消操作</w:t>
      </w:r>
    </w:p>
    <w:p>
      <w:pPr>
        <w:pStyle w:val="3"/>
      </w:pPr>
      <w:bookmarkStart w:id="27" w:name="_Toc523926073"/>
      <w:r>
        <w:rPr>
          <w:rFonts w:hint="eastAsia"/>
        </w:rPr>
        <w:t>2</w:t>
      </w:r>
      <w:r>
        <w:t>.8答辩模块</w:t>
      </w:r>
      <w:bookmarkEnd w:id="27"/>
    </w:p>
    <w:p>
      <w:pPr>
        <w:pStyle w:val="4"/>
        <w:spacing w:before="156" w:after="156"/>
      </w:pPr>
      <w:bookmarkStart w:id="28" w:name="_Toc523925612"/>
      <w:bookmarkStart w:id="29" w:name="_Toc523926074"/>
      <w:r>
        <w:rPr>
          <w:rFonts w:hint="eastAsia"/>
        </w:rPr>
        <w:t>2</w:t>
      </w:r>
      <w:r>
        <w:t>.8</w:t>
      </w:r>
      <w:r>
        <w:rPr>
          <w:rFonts w:hint="eastAsia"/>
        </w:rPr>
        <w:t>.</w:t>
      </w:r>
      <w:r>
        <w:t>1师生答辩安排</w:t>
      </w:r>
      <w:bookmarkEnd w:id="28"/>
      <w:bookmarkEnd w:id="29"/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若学校或者院系设置的</w:t>
      </w:r>
      <w:r>
        <w:rPr>
          <w:rFonts w:hint="eastAsia"/>
        </w:rPr>
        <w:t>“安排开题答辩、评阅专家和答辩组”角色是专业负责人，则可以进行以下操作：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步：选择“评审答辩和成绩管理-师生答辩安排”打开页面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329055" cy="727710"/>
            <wp:effectExtent l="57150" t="57150" r="61595" b="5334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46510" cy="73737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步：进行答辩的安排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若是新添加开题答辩组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则点击列表左上角的</w:t>
      </w:r>
      <w:r>
        <w:rPr>
          <w:rFonts w:hint="eastAsia" w:asciiTheme="minorEastAsia" w:hAnsiTheme="minorEastAsia"/>
          <w:color w:val="303030"/>
        </w:rPr>
        <w:t>“添加答辩组”按钮，打开页面，选择需要参加开题答辩的学生、教师，提交即可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若是需要复制上一年答辩组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点击</w:t>
      </w:r>
      <w:r>
        <w:rPr>
          <w:rFonts w:hint="eastAsia" w:asciiTheme="minorEastAsia" w:hAnsiTheme="minorEastAsia"/>
          <w:color w:val="303030"/>
        </w:rPr>
        <w:t>“复制上一年答辩组”可以将之前学年答辩组复制后，进行部分修改即可使用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963420" cy="333375"/>
            <wp:effectExtent l="76200" t="57150" r="74930" b="6667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42992" cy="34707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若是在已有的开题答辩组内新增学生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则选择列表中已经建好的开题答辩组</w:t>
      </w:r>
      <w:r>
        <w:rPr>
          <w:rFonts w:hint="eastAsia" w:asciiTheme="minorEastAsia" w:hAnsiTheme="minorEastAsia"/>
          <w:color w:val="303030"/>
        </w:rPr>
        <w:t>，点击“修改”按钮，进行修改（点击“答辩组学生”列的数字可以查看对应组内已有的具体学生）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00200" cy="1273175"/>
            <wp:effectExtent l="57150" t="57150" r="57150" b="6032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06478" cy="127819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步：返回查看安排的情况（列表中点击“查看”）</w:t>
      </w:r>
    </w:p>
    <w:p>
      <w:pPr>
        <w:pStyle w:val="4"/>
        <w:spacing w:before="156" w:after="156"/>
        <w:rPr>
          <w:rFonts w:hint="eastAsia"/>
        </w:rPr>
      </w:pPr>
      <w:bookmarkStart w:id="30" w:name="_Toc523926075"/>
      <w:r>
        <w:rPr>
          <w:rFonts w:hint="eastAsia"/>
        </w:rPr>
        <w:t>2</w:t>
      </w:r>
      <w:r>
        <w:t>.8.2参与答辩</w:t>
      </w:r>
      <w:bookmarkEnd w:id="30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*当安排了专业负责人参与答辩，则需要进行系列操作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步：选择“评审答辩和成绩管理-查看答辩安排”打开页面查看被安排参与的答辩情况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50670" cy="858520"/>
            <wp:effectExtent l="57150" t="57150" r="49530" b="5588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64696" cy="86650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步：线下参加答辩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步：录入答辩成绩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*如果学校或院系的安排是教师录入答辩成绩，则需要参与答辩组的该专业负责人教师进行操作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*仍打开“评审答辩和成绩管理-查看答辩安排”页面进行操作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*选择学生，点击学生姓名后的“评分”即可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256280" cy="1295400"/>
            <wp:effectExtent l="76200" t="57150" r="77470" b="5715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309744" cy="131696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*答辩组教师评分时，学生的“答辩成绩”取全部答辩组教师所评分数的平均值计入</w:t>
      </w:r>
    </w:p>
    <w:p>
      <w:pPr>
        <w:pStyle w:val="3"/>
      </w:pPr>
      <w:bookmarkStart w:id="31" w:name="_Toc523926076"/>
      <w:r>
        <w:rPr>
          <w:rFonts w:hint="eastAsia"/>
        </w:rPr>
        <w:t>2</w:t>
      </w:r>
      <w:r>
        <w:t>.9审核答辩成绩</w:t>
      </w:r>
      <w:bookmarkEnd w:id="31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*若配置了答辩成绩需要审核，且专业负责人角色需要参与到审核环节中，则需要专业负责人进行审核答辩成绩的操作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步：选择“评审答辩和成绩管理-审核答辩成绩”打开页面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36700" cy="1383030"/>
            <wp:effectExtent l="57150" t="57150" r="63500" b="6477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41972" cy="138777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步：在列表页面，选择需要审核的数据，点击进入内页审核（已经有可以审核的答辩成绩的，才能进行审核，正在评分过程中的成绩不能审核）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步：审核提交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*审核通过后的答辩成绩，录入人员不能再进行修改，该成绩计为学生的最终答辩成绩</w:t>
      </w:r>
    </w:p>
    <w:p>
      <w:pPr>
        <w:pStyle w:val="3"/>
      </w:pPr>
      <w:bookmarkStart w:id="32" w:name="_Toc523926077"/>
      <w:r>
        <w:t>2.10查看学生成绩</w:t>
      </w:r>
      <w:bookmarkEnd w:id="32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步：选择“评审答辩和成绩管理-查看学生成绩”打开页面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438910" cy="1542415"/>
            <wp:effectExtent l="57150" t="57150" r="66040" b="57785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50467" cy="155490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：查看学生成绩信息；列表可以查看学生已评各项成绩，若需要查看详细成绩和评语，则点击进入内页查看即可</w:t>
      </w:r>
    </w:p>
    <w:p>
      <w:pPr>
        <w:pStyle w:val="3"/>
      </w:pPr>
      <w:bookmarkStart w:id="33" w:name="_Toc523926078"/>
      <w:r>
        <w:t>2.11</w:t>
      </w:r>
      <w:r>
        <w:rPr>
          <w:rFonts w:hint="eastAsia"/>
        </w:rPr>
        <w:t>参与前期、中期、后期检查</w:t>
      </w:r>
      <w:bookmarkEnd w:id="33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*若根据学校或者学院的安排，专业负责人需要参与前期、</w:t>
      </w:r>
      <w:r>
        <w:rPr>
          <w:rFonts w:asciiTheme="minorEastAsia" w:hAnsiTheme="minorEastAsia"/>
          <w:color w:val="303030"/>
        </w:rPr>
        <w:t>中期</w:t>
      </w:r>
      <w:r>
        <w:rPr>
          <w:rFonts w:hint="eastAsia" w:asciiTheme="minorEastAsia" w:hAnsiTheme="minorEastAsia"/>
          <w:color w:val="303030"/>
        </w:rPr>
        <w:t>、</w:t>
      </w:r>
      <w:r>
        <w:rPr>
          <w:rFonts w:asciiTheme="minorEastAsia" w:hAnsiTheme="minorEastAsia"/>
          <w:color w:val="303030"/>
        </w:rPr>
        <w:t>后期检查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则需要进行各项操作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*专业负责人目前只支持配置“审核工作检查”的功能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第1步</w:t>
      </w:r>
      <w:r>
        <w:rPr>
          <w:rFonts w:hint="eastAsia" w:asciiTheme="minorEastAsia" w:hAnsiTheme="minorEastAsia"/>
          <w:color w:val="303030"/>
        </w:rPr>
        <w:t>：在导航区域，选择“前期工作检查”“中期工作检查”或者“后期工作检查”，进入对应二级页面操作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36700" cy="822960"/>
            <wp:effectExtent l="57150" t="57150" r="63500" b="5334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49457" cy="83006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：选择特定的检查，进入列表查看和审核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34160" cy="1094105"/>
            <wp:effectExtent l="57150" t="57150" r="66040" b="4889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55698" cy="110944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第3步</w:t>
      </w:r>
      <w:r>
        <w:rPr>
          <w:rFonts w:hint="eastAsia" w:asciiTheme="minorEastAsia" w:hAnsiTheme="minorEastAsia"/>
          <w:color w:val="303030"/>
        </w:rPr>
        <w:t>：审核提交后，返回页面查看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0DB"/>
    <w:rsid w:val="0000196F"/>
    <w:rsid w:val="000038AB"/>
    <w:rsid w:val="00006015"/>
    <w:rsid w:val="000134B2"/>
    <w:rsid w:val="00013743"/>
    <w:rsid w:val="000138AE"/>
    <w:rsid w:val="00013D4E"/>
    <w:rsid w:val="000168CD"/>
    <w:rsid w:val="00017AE2"/>
    <w:rsid w:val="00022BC4"/>
    <w:rsid w:val="00025077"/>
    <w:rsid w:val="00030D2B"/>
    <w:rsid w:val="00030DEC"/>
    <w:rsid w:val="00034C62"/>
    <w:rsid w:val="00040E7E"/>
    <w:rsid w:val="00043172"/>
    <w:rsid w:val="000435B5"/>
    <w:rsid w:val="00045BA9"/>
    <w:rsid w:val="0004615E"/>
    <w:rsid w:val="00050C8F"/>
    <w:rsid w:val="000530C9"/>
    <w:rsid w:val="0006532B"/>
    <w:rsid w:val="00066332"/>
    <w:rsid w:val="00067436"/>
    <w:rsid w:val="0007335E"/>
    <w:rsid w:val="00073512"/>
    <w:rsid w:val="000754FE"/>
    <w:rsid w:val="00075712"/>
    <w:rsid w:val="0007771D"/>
    <w:rsid w:val="00077E75"/>
    <w:rsid w:val="0008198A"/>
    <w:rsid w:val="000825BD"/>
    <w:rsid w:val="00083F64"/>
    <w:rsid w:val="000855EA"/>
    <w:rsid w:val="00085E01"/>
    <w:rsid w:val="00086545"/>
    <w:rsid w:val="00087072"/>
    <w:rsid w:val="00090B25"/>
    <w:rsid w:val="0009160D"/>
    <w:rsid w:val="000925FD"/>
    <w:rsid w:val="000931B8"/>
    <w:rsid w:val="00093A51"/>
    <w:rsid w:val="00094AEC"/>
    <w:rsid w:val="000A01E1"/>
    <w:rsid w:val="000A038D"/>
    <w:rsid w:val="000A4C4E"/>
    <w:rsid w:val="000A5967"/>
    <w:rsid w:val="000B07E0"/>
    <w:rsid w:val="000B1158"/>
    <w:rsid w:val="000B1327"/>
    <w:rsid w:val="000B175C"/>
    <w:rsid w:val="000B30EA"/>
    <w:rsid w:val="000B39EE"/>
    <w:rsid w:val="000C042B"/>
    <w:rsid w:val="000C2046"/>
    <w:rsid w:val="000C3BE0"/>
    <w:rsid w:val="000C4591"/>
    <w:rsid w:val="000C5FC5"/>
    <w:rsid w:val="000C5FC7"/>
    <w:rsid w:val="000C624C"/>
    <w:rsid w:val="000D07C3"/>
    <w:rsid w:val="000D0D18"/>
    <w:rsid w:val="000D0D8C"/>
    <w:rsid w:val="000D1905"/>
    <w:rsid w:val="000D207F"/>
    <w:rsid w:val="000D20D0"/>
    <w:rsid w:val="000D304F"/>
    <w:rsid w:val="000D3812"/>
    <w:rsid w:val="000D40E2"/>
    <w:rsid w:val="000D55E4"/>
    <w:rsid w:val="000E0D0C"/>
    <w:rsid w:val="000E2F41"/>
    <w:rsid w:val="000E319C"/>
    <w:rsid w:val="000E3A4C"/>
    <w:rsid w:val="000E5360"/>
    <w:rsid w:val="000E68A9"/>
    <w:rsid w:val="000F0DCC"/>
    <w:rsid w:val="000F103C"/>
    <w:rsid w:val="000F2886"/>
    <w:rsid w:val="000F2F12"/>
    <w:rsid w:val="000F35AE"/>
    <w:rsid w:val="000F4BC9"/>
    <w:rsid w:val="000F54FD"/>
    <w:rsid w:val="000F6286"/>
    <w:rsid w:val="000F70B3"/>
    <w:rsid w:val="000F7DDE"/>
    <w:rsid w:val="00100709"/>
    <w:rsid w:val="001029C8"/>
    <w:rsid w:val="00102E6E"/>
    <w:rsid w:val="001033B4"/>
    <w:rsid w:val="00103827"/>
    <w:rsid w:val="00110BB6"/>
    <w:rsid w:val="001110DB"/>
    <w:rsid w:val="001119A6"/>
    <w:rsid w:val="001136ED"/>
    <w:rsid w:val="0011480F"/>
    <w:rsid w:val="001208A5"/>
    <w:rsid w:val="00120B3B"/>
    <w:rsid w:val="00120CBC"/>
    <w:rsid w:val="00123079"/>
    <w:rsid w:val="00123521"/>
    <w:rsid w:val="00123B70"/>
    <w:rsid w:val="00123D70"/>
    <w:rsid w:val="00124019"/>
    <w:rsid w:val="0012403A"/>
    <w:rsid w:val="00124647"/>
    <w:rsid w:val="00124FEE"/>
    <w:rsid w:val="001313A0"/>
    <w:rsid w:val="001335AE"/>
    <w:rsid w:val="0013720C"/>
    <w:rsid w:val="001377A0"/>
    <w:rsid w:val="00137B72"/>
    <w:rsid w:val="00140089"/>
    <w:rsid w:val="001408A5"/>
    <w:rsid w:val="00142A44"/>
    <w:rsid w:val="00142B11"/>
    <w:rsid w:val="0014389C"/>
    <w:rsid w:val="0014443A"/>
    <w:rsid w:val="00150802"/>
    <w:rsid w:val="00150D93"/>
    <w:rsid w:val="001519AA"/>
    <w:rsid w:val="0015316A"/>
    <w:rsid w:val="001559ED"/>
    <w:rsid w:val="00157147"/>
    <w:rsid w:val="00157D32"/>
    <w:rsid w:val="0016448A"/>
    <w:rsid w:val="00170C7A"/>
    <w:rsid w:val="00171439"/>
    <w:rsid w:val="0017541F"/>
    <w:rsid w:val="00175D5F"/>
    <w:rsid w:val="00176566"/>
    <w:rsid w:val="0017784A"/>
    <w:rsid w:val="00180BC2"/>
    <w:rsid w:val="00180FF7"/>
    <w:rsid w:val="001820DE"/>
    <w:rsid w:val="001827F2"/>
    <w:rsid w:val="00190BEF"/>
    <w:rsid w:val="0019610C"/>
    <w:rsid w:val="001A0F79"/>
    <w:rsid w:val="001A31B2"/>
    <w:rsid w:val="001A57D6"/>
    <w:rsid w:val="001A61BE"/>
    <w:rsid w:val="001B29D9"/>
    <w:rsid w:val="001B2AAD"/>
    <w:rsid w:val="001B4EB2"/>
    <w:rsid w:val="001B6B22"/>
    <w:rsid w:val="001B7D41"/>
    <w:rsid w:val="001C04AA"/>
    <w:rsid w:val="001C1154"/>
    <w:rsid w:val="001C1FCC"/>
    <w:rsid w:val="001C2AB5"/>
    <w:rsid w:val="001C4997"/>
    <w:rsid w:val="001C6EB2"/>
    <w:rsid w:val="001C6EF6"/>
    <w:rsid w:val="001C7892"/>
    <w:rsid w:val="001D16D2"/>
    <w:rsid w:val="001D1E74"/>
    <w:rsid w:val="001D433D"/>
    <w:rsid w:val="001D67D6"/>
    <w:rsid w:val="001E37F9"/>
    <w:rsid w:val="001E7DEE"/>
    <w:rsid w:val="001F25E2"/>
    <w:rsid w:val="001F585A"/>
    <w:rsid w:val="001F68F9"/>
    <w:rsid w:val="001F7343"/>
    <w:rsid w:val="002005DF"/>
    <w:rsid w:val="00205FB7"/>
    <w:rsid w:val="002072CF"/>
    <w:rsid w:val="00210518"/>
    <w:rsid w:val="0021199A"/>
    <w:rsid w:val="00211F5D"/>
    <w:rsid w:val="00212AB0"/>
    <w:rsid w:val="00214110"/>
    <w:rsid w:val="00214380"/>
    <w:rsid w:val="0021613D"/>
    <w:rsid w:val="00216188"/>
    <w:rsid w:val="00220E18"/>
    <w:rsid w:val="0022124E"/>
    <w:rsid w:val="00225DD4"/>
    <w:rsid w:val="00232D22"/>
    <w:rsid w:val="00237717"/>
    <w:rsid w:val="00241414"/>
    <w:rsid w:val="00242DE8"/>
    <w:rsid w:val="002457A3"/>
    <w:rsid w:val="00246259"/>
    <w:rsid w:val="00246A32"/>
    <w:rsid w:val="00246BCA"/>
    <w:rsid w:val="00250C8B"/>
    <w:rsid w:val="002512C2"/>
    <w:rsid w:val="00252E7C"/>
    <w:rsid w:val="00257A78"/>
    <w:rsid w:val="0026079B"/>
    <w:rsid w:val="00264243"/>
    <w:rsid w:val="00265FD0"/>
    <w:rsid w:val="002677D5"/>
    <w:rsid w:val="00267DF3"/>
    <w:rsid w:val="00273A8F"/>
    <w:rsid w:val="00274F28"/>
    <w:rsid w:val="00275641"/>
    <w:rsid w:val="00276893"/>
    <w:rsid w:val="0027730E"/>
    <w:rsid w:val="0028196A"/>
    <w:rsid w:val="00282E59"/>
    <w:rsid w:val="002850F5"/>
    <w:rsid w:val="00286409"/>
    <w:rsid w:val="00286703"/>
    <w:rsid w:val="002929B2"/>
    <w:rsid w:val="00293589"/>
    <w:rsid w:val="00293C74"/>
    <w:rsid w:val="00295B68"/>
    <w:rsid w:val="00297CDD"/>
    <w:rsid w:val="002A5123"/>
    <w:rsid w:val="002A554A"/>
    <w:rsid w:val="002A5580"/>
    <w:rsid w:val="002A6F5E"/>
    <w:rsid w:val="002B24BC"/>
    <w:rsid w:val="002B34A5"/>
    <w:rsid w:val="002B6239"/>
    <w:rsid w:val="002C068A"/>
    <w:rsid w:val="002C0BEB"/>
    <w:rsid w:val="002C1EE8"/>
    <w:rsid w:val="002C4C81"/>
    <w:rsid w:val="002D6C04"/>
    <w:rsid w:val="002D73FF"/>
    <w:rsid w:val="002E6D02"/>
    <w:rsid w:val="002E7401"/>
    <w:rsid w:val="002F054F"/>
    <w:rsid w:val="002F2FC0"/>
    <w:rsid w:val="002F34BE"/>
    <w:rsid w:val="002F3AA6"/>
    <w:rsid w:val="002F4A58"/>
    <w:rsid w:val="002F7F6F"/>
    <w:rsid w:val="00300B22"/>
    <w:rsid w:val="00302AD0"/>
    <w:rsid w:val="00303EF9"/>
    <w:rsid w:val="00305406"/>
    <w:rsid w:val="0030555A"/>
    <w:rsid w:val="00305F20"/>
    <w:rsid w:val="00307CF6"/>
    <w:rsid w:val="00307D36"/>
    <w:rsid w:val="00311062"/>
    <w:rsid w:val="00320EC5"/>
    <w:rsid w:val="00323B1E"/>
    <w:rsid w:val="00324482"/>
    <w:rsid w:val="003258EB"/>
    <w:rsid w:val="00325ECA"/>
    <w:rsid w:val="0032637C"/>
    <w:rsid w:val="0033031A"/>
    <w:rsid w:val="00337447"/>
    <w:rsid w:val="003410A4"/>
    <w:rsid w:val="003412BD"/>
    <w:rsid w:val="00344835"/>
    <w:rsid w:val="0034528A"/>
    <w:rsid w:val="00345D54"/>
    <w:rsid w:val="00346B13"/>
    <w:rsid w:val="00347C27"/>
    <w:rsid w:val="003508EC"/>
    <w:rsid w:val="00351035"/>
    <w:rsid w:val="00354D34"/>
    <w:rsid w:val="00355196"/>
    <w:rsid w:val="00355724"/>
    <w:rsid w:val="00357E69"/>
    <w:rsid w:val="00363415"/>
    <w:rsid w:val="00366C88"/>
    <w:rsid w:val="003672C0"/>
    <w:rsid w:val="00367967"/>
    <w:rsid w:val="00372441"/>
    <w:rsid w:val="00374944"/>
    <w:rsid w:val="00384B44"/>
    <w:rsid w:val="00385483"/>
    <w:rsid w:val="003874B2"/>
    <w:rsid w:val="003901AD"/>
    <w:rsid w:val="003907CB"/>
    <w:rsid w:val="00391C7A"/>
    <w:rsid w:val="00392768"/>
    <w:rsid w:val="00394250"/>
    <w:rsid w:val="003947EF"/>
    <w:rsid w:val="00394855"/>
    <w:rsid w:val="003949E4"/>
    <w:rsid w:val="0039596F"/>
    <w:rsid w:val="003977F6"/>
    <w:rsid w:val="003A28D3"/>
    <w:rsid w:val="003A4CC6"/>
    <w:rsid w:val="003B14DF"/>
    <w:rsid w:val="003B26FF"/>
    <w:rsid w:val="003B372F"/>
    <w:rsid w:val="003C0AF8"/>
    <w:rsid w:val="003C28FA"/>
    <w:rsid w:val="003C3EA7"/>
    <w:rsid w:val="003C4BD2"/>
    <w:rsid w:val="003C7662"/>
    <w:rsid w:val="003D07B8"/>
    <w:rsid w:val="003D366D"/>
    <w:rsid w:val="003D37DD"/>
    <w:rsid w:val="003D4D14"/>
    <w:rsid w:val="003D70C8"/>
    <w:rsid w:val="003E22CB"/>
    <w:rsid w:val="003E4A45"/>
    <w:rsid w:val="003E5F7D"/>
    <w:rsid w:val="003E7B90"/>
    <w:rsid w:val="003F1033"/>
    <w:rsid w:val="003F182B"/>
    <w:rsid w:val="003F1A0C"/>
    <w:rsid w:val="003F2117"/>
    <w:rsid w:val="003F34AD"/>
    <w:rsid w:val="003F3B9B"/>
    <w:rsid w:val="003F7771"/>
    <w:rsid w:val="004026F7"/>
    <w:rsid w:val="00402B48"/>
    <w:rsid w:val="00404E34"/>
    <w:rsid w:val="00411820"/>
    <w:rsid w:val="004121A5"/>
    <w:rsid w:val="00413BEF"/>
    <w:rsid w:val="004158AC"/>
    <w:rsid w:val="0041662F"/>
    <w:rsid w:val="00420FFB"/>
    <w:rsid w:val="00420FFD"/>
    <w:rsid w:val="0042617E"/>
    <w:rsid w:val="00430300"/>
    <w:rsid w:val="00431BD0"/>
    <w:rsid w:val="00434A82"/>
    <w:rsid w:val="00435276"/>
    <w:rsid w:val="0043612B"/>
    <w:rsid w:val="00436D92"/>
    <w:rsid w:val="00437E2F"/>
    <w:rsid w:val="0044101C"/>
    <w:rsid w:val="00443F50"/>
    <w:rsid w:val="00447909"/>
    <w:rsid w:val="00447BCB"/>
    <w:rsid w:val="004506CF"/>
    <w:rsid w:val="00450B50"/>
    <w:rsid w:val="0045239C"/>
    <w:rsid w:val="0045358D"/>
    <w:rsid w:val="00456CC6"/>
    <w:rsid w:val="0046007C"/>
    <w:rsid w:val="00460EFB"/>
    <w:rsid w:val="00462E0B"/>
    <w:rsid w:val="00463950"/>
    <w:rsid w:val="0046426F"/>
    <w:rsid w:val="0046431F"/>
    <w:rsid w:val="00464860"/>
    <w:rsid w:val="00464CCA"/>
    <w:rsid w:val="00464F60"/>
    <w:rsid w:val="00465B06"/>
    <w:rsid w:val="00470BAC"/>
    <w:rsid w:val="004742E7"/>
    <w:rsid w:val="00476BEE"/>
    <w:rsid w:val="004772BC"/>
    <w:rsid w:val="004773AE"/>
    <w:rsid w:val="00480A37"/>
    <w:rsid w:val="00481539"/>
    <w:rsid w:val="00485827"/>
    <w:rsid w:val="00486673"/>
    <w:rsid w:val="004874CB"/>
    <w:rsid w:val="00494F87"/>
    <w:rsid w:val="004A0771"/>
    <w:rsid w:val="004A09FD"/>
    <w:rsid w:val="004A21E9"/>
    <w:rsid w:val="004A4D83"/>
    <w:rsid w:val="004A7797"/>
    <w:rsid w:val="004B089A"/>
    <w:rsid w:val="004B16DA"/>
    <w:rsid w:val="004B4F23"/>
    <w:rsid w:val="004B553D"/>
    <w:rsid w:val="004B7CD3"/>
    <w:rsid w:val="004C0215"/>
    <w:rsid w:val="004C119D"/>
    <w:rsid w:val="004C1ACB"/>
    <w:rsid w:val="004C1E90"/>
    <w:rsid w:val="004C2314"/>
    <w:rsid w:val="004C494C"/>
    <w:rsid w:val="004C5A10"/>
    <w:rsid w:val="004C7A88"/>
    <w:rsid w:val="004D3B8F"/>
    <w:rsid w:val="004D3C95"/>
    <w:rsid w:val="004D4184"/>
    <w:rsid w:val="004E45EB"/>
    <w:rsid w:val="004E7DF0"/>
    <w:rsid w:val="004F1DA2"/>
    <w:rsid w:val="004F215C"/>
    <w:rsid w:val="004F2923"/>
    <w:rsid w:val="004F3B46"/>
    <w:rsid w:val="004F6105"/>
    <w:rsid w:val="004F610D"/>
    <w:rsid w:val="004F7E03"/>
    <w:rsid w:val="00500999"/>
    <w:rsid w:val="00510B14"/>
    <w:rsid w:val="00510EA9"/>
    <w:rsid w:val="00511090"/>
    <w:rsid w:val="00513DB6"/>
    <w:rsid w:val="00516A14"/>
    <w:rsid w:val="005207FA"/>
    <w:rsid w:val="00520A5A"/>
    <w:rsid w:val="00523876"/>
    <w:rsid w:val="005249C1"/>
    <w:rsid w:val="00526765"/>
    <w:rsid w:val="005303EE"/>
    <w:rsid w:val="00531EF5"/>
    <w:rsid w:val="00531F1A"/>
    <w:rsid w:val="0053631C"/>
    <w:rsid w:val="005377FA"/>
    <w:rsid w:val="00537A8E"/>
    <w:rsid w:val="00540DA8"/>
    <w:rsid w:val="005448DC"/>
    <w:rsid w:val="005461AC"/>
    <w:rsid w:val="00546C07"/>
    <w:rsid w:val="00550D8F"/>
    <w:rsid w:val="00551819"/>
    <w:rsid w:val="005524B0"/>
    <w:rsid w:val="00552B21"/>
    <w:rsid w:val="00553D25"/>
    <w:rsid w:val="00553EF0"/>
    <w:rsid w:val="005550DC"/>
    <w:rsid w:val="00555533"/>
    <w:rsid w:val="0055637E"/>
    <w:rsid w:val="005563DB"/>
    <w:rsid w:val="00557568"/>
    <w:rsid w:val="00560343"/>
    <w:rsid w:val="00567D22"/>
    <w:rsid w:val="00570E4D"/>
    <w:rsid w:val="00572DEC"/>
    <w:rsid w:val="0057307C"/>
    <w:rsid w:val="00573598"/>
    <w:rsid w:val="00574788"/>
    <w:rsid w:val="00574F51"/>
    <w:rsid w:val="00584C29"/>
    <w:rsid w:val="0058746A"/>
    <w:rsid w:val="00592ECC"/>
    <w:rsid w:val="005946FE"/>
    <w:rsid w:val="005949A2"/>
    <w:rsid w:val="00596004"/>
    <w:rsid w:val="00597133"/>
    <w:rsid w:val="00597CFD"/>
    <w:rsid w:val="005A094C"/>
    <w:rsid w:val="005A2D4F"/>
    <w:rsid w:val="005A3820"/>
    <w:rsid w:val="005A3E98"/>
    <w:rsid w:val="005A7DF0"/>
    <w:rsid w:val="005B1CD1"/>
    <w:rsid w:val="005B3311"/>
    <w:rsid w:val="005B4122"/>
    <w:rsid w:val="005B6641"/>
    <w:rsid w:val="005B78F6"/>
    <w:rsid w:val="005C41B0"/>
    <w:rsid w:val="005C7DF3"/>
    <w:rsid w:val="005D1EBA"/>
    <w:rsid w:val="005D5C02"/>
    <w:rsid w:val="005D6FB2"/>
    <w:rsid w:val="005E244F"/>
    <w:rsid w:val="005E6A51"/>
    <w:rsid w:val="005F05B1"/>
    <w:rsid w:val="005F1AFD"/>
    <w:rsid w:val="005F1D28"/>
    <w:rsid w:val="005F3F4C"/>
    <w:rsid w:val="005F5C10"/>
    <w:rsid w:val="005F6893"/>
    <w:rsid w:val="006041B6"/>
    <w:rsid w:val="00604B19"/>
    <w:rsid w:val="00604D4D"/>
    <w:rsid w:val="0060757B"/>
    <w:rsid w:val="0060793B"/>
    <w:rsid w:val="006102F2"/>
    <w:rsid w:val="006116EE"/>
    <w:rsid w:val="0061321E"/>
    <w:rsid w:val="00614B93"/>
    <w:rsid w:val="00617C04"/>
    <w:rsid w:val="00617DD6"/>
    <w:rsid w:val="00620974"/>
    <w:rsid w:val="006239B3"/>
    <w:rsid w:val="00623C4B"/>
    <w:rsid w:val="006245EF"/>
    <w:rsid w:val="0063261D"/>
    <w:rsid w:val="00636541"/>
    <w:rsid w:val="00640402"/>
    <w:rsid w:val="00642262"/>
    <w:rsid w:val="006426AE"/>
    <w:rsid w:val="00642899"/>
    <w:rsid w:val="00642CC3"/>
    <w:rsid w:val="0064590A"/>
    <w:rsid w:val="00651E0A"/>
    <w:rsid w:val="00664B34"/>
    <w:rsid w:val="00665E74"/>
    <w:rsid w:val="0066717F"/>
    <w:rsid w:val="00671830"/>
    <w:rsid w:val="006731AF"/>
    <w:rsid w:val="00673716"/>
    <w:rsid w:val="00674E36"/>
    <w:rsid w:val="006763AB"/>
    <w:rsid w:val="00676D2B"/>
    <w:rsid w:val="0068080D"/>
    <w:rsid w:val="006846D5"/>
    <w:rsid w:val="006849C0"/>
    <w:rsid w:val="00684E2D"/>
    <w:rsid w:val="00684E4C"/>
    <w:rsid w:val="00690CCA"/>
    <w:rsid w:val="006911BB"/>
    <w:rsid w:val="006917F3"/>
    <w:rsid w:val="006932B8"/>
    <w:rsid w:val="00693338"/>
    <w:rsid w:val="00694705"/>
    <w:rsid w:val="00695A7E"/>
    <w:rsid w:val="006A2027"/>
    <w:rsid w:val="006A65CA"/>
    <w:rsid w:val="006B13CE"/>
    <w:rsid w:val="006B220C"/>
    <w:rsid w:val="006B32E8"/>
    <w:rsid w:val="006B512F"/>
    <w:rsid w:val="006C10DC"/>
    <w:rsid w:val="006C1267"/>
    <w:rsid w:val="006C2035"/>
    <w:rsid w:val="006C2494"/>
    <w:rsid w:val="006C358F"/>
    <w:rsid w:val="006C467F"/>
    <w:rsid w:val="006C5266"/>
    <w:rsid w:val="006C60E5"/>
    <w:rsid w:val="006C6BF9"/>
    <w:rsid w:val="006C7E9C"/>
    <w:rsid w:val="006D1439"/>
    <w:rsid w:val="006D277C"/>
    <w:rsid w:val="006D354C"/>
    <w:rsid w:val="006E061A"/>
    <w:rsid w:val="006E3020"/>
    <w:rsid w:val="006E42D6"/>
    <w:rsid w:val="006E6525"/>
    <w:rsid w:val="006F2A29"/>
    <w:rsid w:val="006F3479"/>
    <w:rsid w:val="006F3492"/>
    <w:rsid w:val="006F451D"/>
    <w:rsid w:val="006F5103"/>
    <w:rsid w:val="006F650E"/>
    <w:rsid w:val="00700455"/>
    <w:rsid w:val="0070109A"/>
    <w:rsid w:val="0070172F"/>
    <w:rsid w:val="00702DD4"/>
    <w:rsid w:val="0070324C"/>
    <w:rsid w:val="007076BC"/>
    <w:rsid w:val="00707F31"/>
    <w:rsid w:val="00710F37"/>
    <w:rsid w:val="0071243C"/>
    <w:rsid w:val="007130F6"/>
    <w:rsid w:val="007140E1"/>
    <w:rsid w:val="0072055F"/>
    <w:rsid w:val="00722846"/>
    <w:rsid w:val="00723665"/>
    <w:rsid w:val="00726D3C"/>
    <w:rsid w:val="007270A7"/>
    <w:rsid w:val="007274AE"/>
    <w:rsid w:val="00731BAA"/>
    <w:rsid w:val="00731D68"/>
    <w:rsid w:val="00732C9B"/>
    <w:rsid w:val="0073368B"/>
    <w:rsid w:val="00737288"/>
    <w:rsid w:val="0074147D"/>
    <w:rsid w:val="007428BD"/>
    <w:rsid w:val="007428BF"/>
    <w:rsid w:val="00742E68"/>
    <w:rsid w:val="00751ECF"/>
    <w:rsid w:val="00752048"/>
    <w:rsid w:val="00752A87"/>
    <w:rsid w:val="0075490C"/>
    <w:rsid w:val="00755FF0"/>
    <w:rsid w:val="00756AF0"/>
    <w:rsid w:val="00757BD3"/>
    <w:rsid w:val="00762D5B"/>
    <w:rsid w:val="007650CE"/>
    <w:rsid w:val="0076531D"/>
    <w:rsid w:val="0077014D"/>
    <w:rsid w:val="00774D30"/>
    <w:rsid w:val="00775BCB"/>
    <w:rsid w:val="007766ED"/>
    <w:rsid w:val="00776F4B"/>
    <w:rsid w:val="00777214"/>
    <w:rsid w:val="007800E9"/>
    <w:rsid w:val="00782CC6"/>
    <w:rsid w:val="0078494E"/>
    <w:rsid w:val="007900BB"/>
    <w:rsid w:val="00791A5C"/>
    <w:rsid w:val="00794170"/>
    <w:rsid w:val="00794E67"/>
    <w:rsid w:val="00796086"/>
    <w:rsid w:val="007A0D74"/>
    <w:rsid w:val="007A132D"/>
    <w:rsid w:val="007A2EA5"/>
    <w:rsid w:val="007B2A53"/>
    <w:rsid w:val="007B390E"/>
    <w:rsid w:val="007B4E34"/>
    <w:rsid w:val="007C24D9"/>
    <w:rsid w:val="007C269A"/>
    <w:rsid w:val="007C50D7"/>
    <w:rsid w:val="007C73BF"/>
    <w:rsid w:val="007D0255"/>
    <w:rsid w:val="007D125D"/>
    <w:rsid w:val="007D28EC"/>
    <w:rsid w:val="007D2AE9"/>
    <w:rsid w:val="007D36AB"/>
    <w:rsid w:val="007D3BED"/>
    <w:rsid w:val="007D4A68"/>
    <w:rsid w:val="007D54B9"/>
    <w:rsid w:val="007D6362"/>
    <w:rsid w:val="007D6C61"/>
    <w:rsid w:val="007E2461"/>
    <w:rsid w:val="007E7580"/>
    <w:rsid w:val="007E75A2"/>
    <w:rsid w:val="007F3948"/>
    <w:rsid w:val="007F45DE"/>
    <w:rsid w:val="007F4FDE"/>
    <w:rsid w:val="007F5E07"/>
    <w:rsid w:val="007F7959"/>
    <w:rsid w:val="00802F42"/>
    <w:rsid w:val="00802F5C"/>
    <w:rsid w:val="00805710"/>
    <w:rsid w:val="00805C28"/>
    <w:rsid w:val="00814D66"/>
    <w:rsid w:val="00815372"/>
    <w:rsid w:val="00815AC4"/>
    <w:rsid w:val="00816405"/>
    <w:rsid w:val="008171AD"/>
    <w:rsid w:val="00817210"/>
    <w:rsid w:val="00817EEA"/>
    <w:rsid w:val="00820D4E"/>
    <w:rsid w:val="00821C0B"/>
    <w:rsid w:val="00821CE0"/>
    <w:rsid w:val="00825116"/>
    <w:rsid w:val="00825873"/>
    <w:rsid w:val="00827331"/>
    <w:rsid w:val="0083197C"/>
    <w:rsid w:val="00831D9B"/>
    <w:rsid w:val="0083370B"/>
    <w:rsid w:val="00834106"/>
    <w:rsid w:val="0083415F"/>
    <w:rsid w:val="0083583A"/>
    <w:rsid w:val="00837D8C"/>
    <w:rsid w:val="0084081A"/>
    <w:rsid w:val="00840CD1"/>
    <w:rsid w:val="00840FB6"/>
    <w:rsid w:val="0084595D"/>
    <w:rsid w:val="0085099D"/>
    <w:rsid w:val="00851C6A"/>
    <w:rsid w:val="00851CC2"/>
    <w:rsid w:val="0085400F"/>
    <w:rsid w:val="008546B5"/>
    <w:rsid w:val="00854A22"/>
    <w:rsid w:val="00855ABA"/>
    <w:rsid w:val="00855F37"/>
    <w:rsid w:val="008621BC"/>
    <w:rsid w:val="00863BC5"/>
    <w:rsid w:val="00864839"/>
    <w:rsid w:val="008652AA"/>
    <w:rsid w:val="00866673"/>
    <w:rsid w:val="008705C6"/>
    <w:rsid w:val="0087103C"/>
    <w:rsid w:val="008722BD"/>
    <w:rsid w:val="008727F4"/>
    <w:rsid w:val="008728B7"/>
    <w:rsid w:val="00873FA9"/>
    <w:rsid w:val="00874EE1"/>
    <w:rsid w:val="00882DC0"/>
    <w:rsid w:val="008841F8"/>
    <w:rsid w:val="0088438E"/>
    <w:rsid w:val="00884823"/>
    <w:rsid w:val="00887F23"/>
    <w:rsid w:val="00890B62"/>
    <w:rsid w:val="00891A93"/>
    <w:rsid w:val="00893393"/>
    <w:rsid w:val="00895164"/>
    <w:rsid w:val="008955A4"/>
    <w:rsid w:val="008966EC"/>
    <w:rsid w:val="008A26FB"/>
    <w:rsid w:val="008A4E87"/>
    <w:rsid w:val="008A6061"/>
    <w:rsid w:val="008B1770"/>
    <w:rsid w:val="008B206F"/>
    <w:rsid w:val="008B7D65"/>
    <w:rsid w:val="008C172C"/>
    <w:rsid w:val="008C1880"/>
    <w:rsid w:val="008C2635"/>
    <w:rsid w:val="008C267A"/>
    <w:rsid w:val="008C2EE4"/>
    <w:rsid w:val="008C5808"/>
    <w:rsid w:val="008C6180"/>
    <w:rsid w:val="008D3166"/>
    <w:rsid w:val="008D3772"/>
    <w:rsid w:val="008D4508"/>
    <w:rsid w:val="008D5B71"/>
    <w:rsid w:val="008D60B9"/>
    <w:rsid w:val="008D6ECF"/>
    <w:rsid w:val="008D7C1D"/>
    <w:rsid w:val="008E1436"/>
    <w:rsid w:val="008E31BE"/>
    <w:rsid w:val="008E46CB"/>
    <w:rsid w:val="008E519F"/>
    <w:rsid w:val="008E75DE"/>
    <w:rsid w:val="008F0EB3"/>
    <w:rsid w:val="008F1301"/>
    <w:rsid w:val="008F2AF2"/>
    <w:rsid w:val="008F2BA9"/>
    <w:rsid w:val="008F35DF"/>
    <w:rsid w:val="008F3B06"/>
    <w:rsid w:val="008F44B0"/>
    <w:rsid w:val="009000D1"/>
    <w:rsid w:val="009001A2"/>
    <w:rsid w:val="00903D91"/>
    <w:rsid w:val="00905DA5"/>
    <w:rsid w:val="00912346"/>
    <w:rsid w:val="009150B2"/>
    <w:rsid w:val="009150E4"/>
    <w:rsid w:val="009164A6"/>
    <w:rsid w:val="00916C6A"/>
    <w:rsid w:val="0092127D"/>
    <w:rsid w:val="009215E5"/>
    <w:rsid w:val="00921DE2"/>
    <w:rsid w:val="009251C6"/>
    <w:rsid w:val="009268B7"/>
    <w:rsid w:val="00926B81"/>
    <w:rsid w:val="0092774B"/>
    <w:rsid w:val="00930E16"/>
    <w:rsid w:val="009330FA"/>
    <w:rsid w:val="00933A4D"/>
    <w:rsid w:val="00934987"/>
    <w:rsid w:val="00934C2B"/>
    <w:rsid w:val="00934FBD"/>
    <w:rsid w:val="009351E9"/>
    <w:rsid w:val="009352B2"/>
    <w:rsid w:val="00936D91"/>
    <w:rsid w:val="0093709F"/>
    <w:rsid w:val="009372EE"/>
    <w:rsid w:val="00941DEE"/>
    <w:rsid w:val="00947514"/>
    <w:rsid w:val="00947E86"/>
    <w:rsid w:val="0095003E"/>
    <w:rsid w:val="00951789"/>
    <w:rsid w:val="009522BC"/>
    <w:rsid w:val="00952A52"/>
    <w:rsid w:val="00953307"/>
    <w:rsid w:val="00953A0A"/>
    <w:rsid w:val="00954193"/>
    <w:rsid w:val="00955CE8"/>
    <w:rsid w:val="009575A9"/>
    <w:rsid w:val="0096169F"/>
    <w:rsid w:val="00961EC0"/>
    <w:rsid w:val="0096652F"/>
    <w:rsid w:val="00966A1E"/>
    <w:rsid w:val="00967F38"/>
    <w:rsid w:val="00971CAC"/>
    <w:rsid w:val="00971CD6"/>
    <w:rsid w:val="009722A6"/>
    <w:rsid w:val="009757B4"/>
    <w:rsid w:val="0097648B"/>
    <w:rsid w:val="009774A2"/>
    <w:rsid w:val="00977B18"/>
    <w:rsid w:val="0098028B"/>
    <w:rsid w:val="00983A30"/>
    <w:rsid w:val="00987953"/>
    <w:rsid w:val="0099195B"/>
    <w:rsid w:val="009960AF"/>
    <w:rsid w:val="00996400"/>
    <w:rsid w:val="009966AC"/>
    <w:rsid w:val="009977CE"/>
    <w:rsid w:val="009A23DE"/>
    <w:rsid w:val="009A4861"/>
    <w:rsid w:val="009A48DE"/>
    <w:rsid w:val="009A710D"/>
    <w:rsid w:val="009A7B53"/>
    <w:rsid w:val="009A7E26"/>
    <w:rsid w:val="009B1279"/>
    <w:rsid w:val="009B35A9"/>
    <w:rsid w:val="009B47C2"/>
    <w:rsid w:val="009B52B9"/>
    <w:rsid w:val="009B61A4"/>
    <w:rsid w:val="009C0F86"/>
    <w:rsid w:val="009C57C2"/>
    <w:rsid w:val="009C636F"/>
    <w:rsid w:val="009C7836"/>
    <w:rsid w:val="009C7CE0"/>
    <w:rsid w:val="009D0C94"/>
    <w:rsid w:val="009D166F"/>
    <w:rsid w:val="009D5C17"/>
    <w:rsid w:val="009D68DA"/>
    <w:rsid w:val="009E02A1"/>
    <w:rsid w:val="009E08DF"/>
    <w:rsid w:val="009E2D83"/>
    <w:rsid w:val="009E47AA"/>
    <w:rsid w:val="009E5416"/>
    <w:rsid w:val="009E6DAC"/>
    <w:rsid w:val="009E6EDB"/>
    <w:rsid w:val="009F1A28"/>
    <w:rsid w:val="009F5453"/>
    <w:rsid w:val="00A008EF"/>
    <w:rsid w:val="00A03018"/>
    <w:rsid w:val="00A0361E"/>
    <w:rsid w:val="00A10FD2"/>
    <w:rsid w:val="00A1283B"/>
    <w:rsid w:val="00A1344D"/>
    <w:rsid w:val="00A17B56"/>
    <w:rsid w:val="00A17CF4"/>
    <w:rsid w:val="00A2140B"/>
    <w:rsid w:val="00A23859"/>
    <w:rsid w:val="00A2589E"/>
    <w:rsid w:val="00A25A25"/>
    <w:rsid w:val="00A26554"/>
    <w:rsid w:val="00A276D6"/>
    <w:rsid w:val="00A308A2"/>
    <w:rsid w:val="00A30AAF"/>
    <w:rsid w:val="00A30D7A"/>
    <w:rsid w:val="00A32DF5"/>
    <w:rsid w:val="00A33455"/>
    <w:rsid w:val="00A34252"/>
    <w:rsid w:val="00A347F3"/>
    <w:rsid w:val="00A34AEF"/>
    <w:rsid w:val="00A34D57"/>
    <w:rsid w:val="00A3681E"/>
    <w:rsid w:val="00A36E37"/>
    <w:rsid w:val="00A3790E"/>
    <w:rsid w:val="00A40F5F"/>
    <w:rsid w:val="00A4522E"/>
    <w:rsid w:val="00A50126"/>
    <w:rsid w:val="00A51614"/>
    <w:rsid w:val="00A51A64"/>
    <w:rsid w:val="00A52E31"/>
    <w:rsid w:val="00A52FEC"/>
    <w:rsid w:val="00A53C6D"/>
    <w:rsid w:val="00A56B1C"/>
    <w:rsid w:val="00A574C3"/>
    <w:rsid w:val="00A600F1"/>
    <w:rsid w:val="00A601C4"/>
    <w:rsid w:val="00A61E77"/>
    <w:rsid w:val="00A62725"/>
    <w:rsid w:val="00A70FDE"/>
    <w:rsid w:val="00A753D6"/>
    <w:rsid w:val="00A77F67"/>
    <w:rsid w:val="00A81C05"/>
    <w:rsid w:val="00A83111"/>
    <w:rsid w:val="00A841FC"/>
    <w:rsid w:val="00A84A9C"/>
    <w:rsid w:val="00A8798C"/>
    <w:rsid w:val="00A92363"/>
    <w:rsid w:val="00A9723B"/>
    <w:rsid w:val="00AA0BFA"/>
    <w:rsid w:val="00AA1203"/>
    <w:rsid w:val="00AA3FE4"/>
    <w:rsid w:val="00AA4A36"/>
    <w:rsid w:val="00AA5E38"/>
    <w:rsid w:val="00AA62E4"/>
    <w:rsid w:val="00AA6846"/>
    <w:rsid w:val="00AA73F2"/>
    <w:rsid w:val="00AA7C52"/>
    <w:rsid w:val="00AA7DF9"/>
    <w:rsid w:val="00AB2D34"/>
    <w:rsid w:val="00AB3275"/>
    <w:rsid w:val="00AB3897"/>
    <w:rsid w:val="00AB3E81"/>
    <w:rsid w:val="00AB48D6"/>
    <w:rsid w:val="00AB4BF5"/>
    <w:rsid w:val="00AB5FE1"/>
    <w:rsid w:val="00AB7D4A"/>
    <w:rsid w:val="00AC13E6"/>
    <w:rsid w:val="00AC22C2"/>
    <w:rsid w:val="00AC5513"/>
    <w:rsid w:val="00AC5F52"/>
    <w:rsid w:val="00AC6646"/>
    <w:rsid w:val="00AD0FB5"/>
    <w:rsid w:val="00AD2597"/>
    <w:rsid w:val="00AD291A"/>
    <w:rsid w:val="00AD358C"/>
    <w:rsid w:val="00AD3E1C"/>
    <w:rsid w:val="00AD5D26"/>
    <w:rsid w:val="00AD7885"/>
    <w:rsid w:val="00AE0AD7"/>
    <w:rsid w:val="00AE259E"/>
    <w:rsid w:val="00AE3242"/>
    <w:rsid w:val="00AE5312"/>
    <w:rsid w:val="00AE655F"/>
    <w:rsid w:val="00AE7541"/>
    <w:rsid w:val="00AE7F84"/>
    <w:rsid w:val="00AF0173"/>
    <w:rsid w:val="00AF07A9"/>
    <w:rsid w:val="00AF51AF"/>
    <w:rsid w:val="00AF5B3D"/>
    <w:rsid w:val="00B02356"/>
    <w:rsid w:val="00B02963"/>
    <w:rsid w:val="00B02B40"/>
    <w:rsid w:val="00B07122"/>
    <w:rsid w:val="00B11B16"/>
    <w:rsid w:val="00B12CDA"/>
    <w:rsid w:val="00B1326E"/>
    <w:rsid w:val="00B16C49"/>
    <w:rsid w:val="00B174A0"/>
    <w:rsid w:val="00B22867"/>
    <w:rsid w:val="00B24622"/>
    <w:rsid w:val="00B25092"/>
    <w:rsid w:val="00B2738B"/>
    <w:rsid w:val="00B3295B"/>
    <w:rsid w:val="00B331A1"/>
    <w:rsid w:val="00B33D4A"/>
    <w:rsid w:val="00B3422D"/>
    <w:rsid w:val="00B34587"/>
    <w:rsid w:val="00B34B58"/>
    <w:rsid w:val="00B43928"/>
    <w:rsid w:val="00B452B4"/>
    <w:rsid w:val="00B4703D"/>
    <w:rsid w:val="00B47A7C"/>
    <w:rsid w:val="00B5156F"/>
    <w:rsid w:val="00B54B24"/>
    <w:rsid w:val="00B5533A"/>
    <w:rsid w:val="00B5656A"/>
    <w:rsid w:val="00B56D45"/>
    <w:rsid w:val="00B61E7A"/>
    <w:rsid w:val="00B62A41"/>
    <w:rsid w:val="00B67248"/>
    <w:rsid w:val="00B67AB5"/>
    <w:rsid w:val="00B67E01"/>
    <w:rsid w:val="00B729B9"/>
    <w:rsid w:val="00B72E9E"/>
    <w:rsid w:val="00B740AD"/>
    <w:rsid w:val="00B773BE"/>
    <w:rsid w:val="00B8204B"/>
    <w:rsid w:val="00B841F8"/>
    <w:rsid w:val="00B84D00"/>
    <w:rsid w:val="00B853F6"/>
    <w:rsid w:val="00B87BEC"/>
    <w:rsid w:val="00B90E43"/>
    <w:rsid w:val="00B91BDA"/>
    <w:rsid w:val="00B92500"/>
    <w:rsid w:val="00B92D3B"/>
    <w:rsid w:val="00B93116"/>
    <w:rsid w:val="00B93A53"/>
    <w:rsid w:val="00B94226"/>
    <w:rsid w:val="00B96A45"/>
    <w:rsid w:val="00BA2146"/>
    <w:rsid w:val="00BA273F"/>
    <w:rsid w:val="00BA3193"/>
    <w:rsid w:val="00BA514B"/>
    <w:rsid w:val="00BA6F4B"/>
    <w:rsid w:val="00BA7005"/>
    <w:rsid w:val="00BB0BF4"/>
    <w:rsid w:val="00BB1009"/>
    <w:rsid w:val="00BB12CB"/>
    <w:rsid w:val="00BB58A1"/>
    <w:rsid w:val="00BC1CA4"/>
    <w:rsid w:val="00BC4EE8"/>
    <w:rsid w:val="00BC5955"/>
    <w:rsid w:val="00BC6E6C"/>
    <w:rsid w:val="00BC707F"/>
    <w:rsid w:val="00BD4EBA"/>
    <w:rsid w:val="00BE4D78"/>
    <w:rsid w:val="00BE4F75"/>
    <w:rsid w:val="00BE57ED"/>
    <w:rsid w:val="00BE5ACF"/>
    <w:rsid w:val="00BE67F7"/>
    <w:rsid w:val="00BF2877"/>
    <w:rsid w:val="00BF2B35"/>
    <w:rsid w:val="00BF5772"/>
    <w:rsid w:val="00BF583F"/>
    <w:rsid w:val="00C01E79"/>
    <w:rsid w:val="00C01EEC"/>
    <w:rsid w:val="00C021F8"/>
    <w:rsid w:val="00C02526"/>
    <w:rsid w:val="00C053A8"/>
    <w:rsid w:val="00C05773"/>
    <w:rsid w:val="00C05CEF"/>
    <w:rsid w:val="00C16C4D"/>
    <w:rsid w:val="00C16CBC"/>
    <w:rsid w:val="00C17B40"/>
    <w:rsid w:val="00C20B43"/>
    <w:rsid w:val="00C21433"/>
    <w:rsid w:val="00C236A7"/>
    <w:rsid w:val="00C23BF7"/>
    <w:rsid w:val="00C25173"/>
    <w:rsid w:val="00C25AB8"/>
    <w:rsid w:val="00C26A26"/>
    <w:rsid w:val="00C275EB"/>
    <w:rsid w:val="00C313D2"/>
    <w:rsid w:val="00C34BB0"/>
    <w:rsid w:val="00C35B81"/>
    <w:rsid w:val="00C37A29"/>
    <w:rsid w:val="00C4029A"/>
    <w:rsid w:val="00C40CAF"/>
    <w:rsid w:val="00C41FC8"/>
    <w:rsid w:val="00C451F7"/>
    <w:rsid w:val="00C461A9"/>
    <w:rsid w:val="00C4687B"/>
    <w:rsid w:val="00C50205"/>
    <w:rsid w:val="00C5175F"/>
    <w:rsid w:val="00C51A90"/>
    <w:rsid w:val="00C541D6"/>
    <w:rsid w:val="00C55929"/>
    <w:rsid w:val="00C60F6C"/>
    <w:rsid w:val="00C615A3"/>
    <w:rsid w:val="00C656CC"/>
    <w:rsid w:val="00C66040"/>
    <w:rsid w:val="00C66F1E"/>
    <w:rsid w:val="00C7348A"/>
    <w:rsid w:val="00C77B14"/>
    <w:rsid w:val="00C80170"/>
    <w:rsid w:val="00C80293"/>
    <w:rsid w:val="00C8088A"/>
    <w:rsid w:val="00C81282"/>
    <w:rsid w:val="00C81677"/>
    <w:rsid w:val="00C81736"/>
    <w:rsid w:val="00C84371"/>
    <w:rsid w:val="00C8489E"/>
    <w:rsid w:val="00C858E6"/>
    <w:rsid w:val="00C87B20"/>
    <w:rsid w:val="00C93D19"/>
    <w:rsid w:val="00C94702"/>
    <w:rsid w:val="00C95383"/>
    <w:rsid w:val="00C973B5"/>
    <w:rsid w:val="00CA12F7"/>
    <w:rsid w:val="00CA177B"/>
    <w:rsid w:val="00CA1DC4"/>
    <w:rsid w:val="00CA3CE7"/>
    <w:rsid w:val="00CA4260"/>
    <w:rsid w:val="00CA6ECF"/>
    <w:rsid w:val="00CA79E2"/>
    <w:rsid w:val="00CB00BE"/>
    <w:rsid w:val="00CB0523"/>
    <w:rsid w:val="00CB3E10"/>
    <w:rsid w:val="00CB69EC"/>
    <w:rsid w:val="00CC0FCF"/>
    <w:rsid w:val="00CC1AA7"/>
    <w:rsid w:val="00CC22F5"/>
    <w:rsid w:val="00CC2B48"/>
    <w:rsid w:val="00CC65E8"/>
    <w:rsid w:val="00CC6668"/>
    <w:rsid w:val="00CC7042"/>
    <w:rsid w:val="00CD02FD"/>
    <w:rsid w:val="00CD30D2"/>
    <w:rsid w:val="00CD5F33"/>
    <w:rsid w:val="00CD6A7C"/>
    <w:rsid w:val="00CD7672"/>
    <w:rsid w:val="00CE25BA"/>
    <w:rsid w:val="00CE296D"/>
    <w:rsid w:val="00CE3086"/>
    <w:rsid w:val="00CE7995"/>
    <w:rsid w:val="00CF00F7"/>
    <w:rsid w:val="00CF03B7"/>
    <w:rsid w:val="00CF072E"/>
    <w:rsid w:val="00CF0745"/>
    <w:rsid w:val="00CF0AC9"/>
    <w:rsid w:val="00CF0AF6"/>
    <w:rsid w:val="00CF1611"/>
    <w:rsid w:val="00CF28C9"/>
    <w:rsid w:val="00CF2EB7"/>
    <w:rsid w:val="00CF456F"/>
    <w:rsid w:val="00CF7311"/>
    <w:rsid w:val="00CF78F8"/>
    <w:rsid w:val="00D001CF"/>
    <w:rsid w:val="00D01FDF"/>
    <w:rsid w:val="00D05CD3"/>
    <w:rsid w:val="00D067C4"/>
    <w:rsid w:val="00D1031F"/>
    <w:rsid w:val="00D106BD"/>
    <w:rsid w:val="00D10C42"/>
    <w:rsid w:val="00D11756"/>
    <w:rsid w:val="00D12141"/>
    <w:rsid w:val="00D1275D"/>
    <w:rsid w:val="00D1484F"/>
    <w:rsid w:val="00D160E7"/>
    <w:rsid w:val="00D208C2"/>
    <w:rsid w:val="00D20C19"/>
    <w:rsid w:val="00D20FFA"/>
    <w:rsid w:val="00D24B37"/>
    <w:rsid w:val="00D254EE"/>
    <w:rsid w:val="00D25608"/>
    <w:rsid w:val="00D25ADE"/>
    <w:rsid w:val="00D26937"/>
    <w:rsid w:val="00D32E1E"/>
    <w:rsid w:val="00D3334D"/>
    <w:rsid w:val="00D33D8B"/>
    <w:rsid w:val="00D35C86"/>
    <w:rsid w:val="00D3670A"/>
    <w:rsid w:val="00D3765D"/>
    <w:rsid w:val="00D4307C"/>
    <w:rsid w:val="00D4799D"/>
    <w:rsid w:val="00D51C64"/>
    <w:rsid w:val="00D52DBE"/>
    <w:rsid w:val="00D52DE2"/>
    <w:rsid w:val="00D5348E"/>
    <w:rsid w:val="00D54735"/>
    <w:rsid w:val="00D60944"/>
    <w:rsid w:val="00D61867"/>
    <w:rsid w:val="00D62A08"/>
    <w:rsid w:val="00D63924"/>
    <w:rsid w:val="00D6603A"/>
    <w:rsid w:val="00D67FD9"/>
    <w:rsid w:val="00D70863"/>
    <w:rsid w:val="00D711EC"/>
    <w:rsid w:val="00D71635"/>
    <w:rsid w:val="00D7187D"/>
    <w:rsid w:val="00D72ABA"/>
    <w:rsid w:val="00D73510"/>
    <w:rsid w:val="00D752C2"/>
    <w:rsid w:val="00D75D17"/>
    <w:rsid w:val="00D77A15"/>
    <w:rsid w:val="00D86A7C"/>
    <w:rsid w:val="00D87E45"/>
    <w:rsid w:val="00D90D54"/>
    <w:rsid w:val="00D93846"/>
    <w:rsid w:val="00D944F1"/>
    <w:rsid w:val="00D957CD"/>
    <w:rsid w:val="00DA14CB"/>
    <w:rsid w:val="00DA3CBD"/>
    <w:rsid w:val="00DA4B55"/>
    <w:rsid w:val="00DA5A21"/>
    <w:rsid w:val="00DA66EC"/>
    <w:rsid w:val="00DA6E82"/>
    <w:rsid w:val="00DA72CA"/>
    <w:rsid w:val="00DA7351"/>
    <w:rsid w:val="00DB0887"/>
    <w:rsid w:val="00DB0EF5"/>
    <w:rsid w:val="00DB1A5E"/>
    <w:rsid w:val="00DB6734"/>
    <w:rsid w:val="00DC04BE"/>
    <w:rsid w:val="00DC0B26"/>
    <w:rsid w:val="00DC22C0"/>
    <w:rsid w:val="00DD39E0"/>
    <w:rsid w:val="00DE0F76"/>
    <w:rsid w:val="00DE34EA"/>
    <w:rsid w:val="00DE3620"/>
    <w:rsid w:val="00DE3B3A"/>
    <w:rsid w:val="00DE4A48"/>
    <w:rsid w:val="00DE5944"/>
    <w:rsid w:val="00DE6C80"/>
    <w:rsid w:val="00DF025F"/>
    <w:rsid w:val="00DF055E"/>
    <w:rsid w:val="00E00C86"/>
    <w:rsid w:val="00E04C68"/>
    <w:rsid w:val="00E0549C"/>
    <w:rsid w:val="00E071F6"/>
    <w:rsid w:val="00E07560"/>
    <w:rsid w:val="00E10D4E"/>
    <w:rsid w:val="00E10E79"/>
    <w:rsid w:val="00E11B7F"/>
    <w:rsid w:val="00E16590"/>
    <w:rsid w:val="00E172FC"/>
    <w:rsid w:val="00E217FA"/>
    <w:rsid w:val="00E22C73"/>
    <w:rsid w:val="00E22E95"/>
    <w:rsid w:val="00E27B46"/>
    <w:rsid w:val="00E32513"/>
    <w:rsid w:val="00E3346F"/>
    <w:rsid w:val="00E362B5"/>
    <w:rsid w:val="00E37069"/>
    <w:rsid w:val="00E41243"/>
    <w:rsid w:val="00E44BB9"/>
    <w:rsid w:val="00E47665"/>
    <w:rsid w:val="00E503FC"/>
    <w:rsid w:val="00E50D14"/>
    <w:rsid w:val="00E51B14"/>
    <w:rsid w:val="00E522A3"/>
    <w:rsid w:val="00E52FB0"/>
    <w:rsid w:val="00E53F53"/>
    <w:rsid w:val="00E5583E"/>
    <w:rsid w:val="00E56C4D"/>
    <w:rsid w:val="00E60AC9"/>
    <w:rsid w:val="00E620C2"/>
    <w:rsid w:val="00E62137"/>
    <w:rsid w:val="00E63466"/>
    <w:rsid w:val="00E636A1"/>
    <w:rsid w:val="00E63FFD"/>
    <w:rsid w:val="00E6404B"/>
    <w:rsid w:val="00E70888"/>
    <w:rsid w:val="00E70A5B"/>
    <w:rsid w:val="00E73659"/>
    <w:rsid w:val="00E741ED"/>
    <w:rsid w:val="00E75617"/>
    <w:rsid w:val="00E76C26"/>
    <w:rsid w:val="00E77968"/>
    <w:rsid w:val="00E87AA0"/>
    <w:rsid w:val="00E91493"/>
    <w:rsid w:val="00EA0EEB"/>
    <w:rsid w:val="00EA4177"/>
    <w:rsid w:val="00EA41C9"/>
    <w:rsid w:val="00EA4350"/>
    <w:rsid w:val="00EA5D8F"/>
    <w:rsid w:val="00EA67AD"/>
    <w:rsid w:val="00EB1013"/>
    <w:rsid w:val="00EB190F"/>
    <w:rsid w:val="00EB249A"/>
    <w:rsid w:val="00EB4CA4"/>
    <w:rsid w:val="00EB6D83"/>
    <w:rsid w:val="00EB7810"/>
    <w:rsid w:val="00EC03A9"/>
    <w:rsid w:val="00EC0F1D"/>
    <w:rsid w:val="00EC1A4D"/>
    <w:rsid w:val="00EC51F0"/>
    <w:rsid w:val="00EC5EB7"/>
    <w:rsid w:val="00ED039B"/>
    <w:rsid w:val="00ED1DA1"/>
    <w:rsid w:val="00ED52BD"/>
    <w:rsid w:val="00ED5DC9"/>
    <w:rsid w:val="00EE10A5"/>
    <w:rsid w:val="00EE3912"/>
    <w:rsid w:val="00EE3CC4"/>
    <w:rsid w:val="00EE3E47"/>
    <w:rsid w:val="00EE4C5C"/>
    <w:rsid w:val="00EE5936"/>
    <w:rsid w:val="00EE6416"/>
    <w:rsid w:val="00EF1B6A"/>
    <w:rsid w:val="00EF3A99"/>
    <w:rsid w:val="00EF6F9E"/>
    <w:rsid w:val="00F027FE"/>
    <w:rsid w:val="00F04424"/>
    <w:rsid w:val="00F04FC1"/>
    <w:rsid w:val="00F0550E"/>
    <w:rsid w:val="00F0571C"/>
    <w:rsid w:val="00F102E1"/>
    <w:rsid w:val="00F10F73"/>
    <w:rsid w:val="00F116D3"/>
    <w:rsid w:val="00F12E8E"/>
    <w:rsid w:val="00F1320F"/>
    <w:rsid w:val="00F136CE"/>
    <w:rsid w:val="00F15EF6"/>
    <w:rsid w:val="00F2019B"/>
    <w:rsid w:val="00F20541"/>
    <w:rsid w:val="00F2243F"/>
    <w:rsid w:val="00F23007"/>
    <w:rsid w:val="00F23D6E"/>
    <w:rsid w:val="00F24E08"/>
    <w:rsid w:val="00F25F0B"/>
    <w:rsid w:val="00F26937"/>
    <w:rsid w:val="00F30F94"/>
    <w:rsid w:val="00F325C8"/>
    <w:rsid w:val="00F33B60"/>
    <w:rsid w:val="00F374DD"/>
    <w:rsid w:val="00F423A0"/>
    <w:rsid w:val="00F42EB4"/>
    <w:rsid w:val="00F442E2"/>
    <w:rsid w:val="00F47E3D"/>
    <w:rsid w:val="00F52A49"/>
    <w:rsid w:val="00F544EC"/>
    <w:rsid w:val="00F54EEC"/>
    <w:rsid w:val="00F5585C"/>
    <w:rsid w:val="00F561E7"/>
    <w:rsid w:val="00F56EDD"/>
    <w:rsid w:val="00F56FAC"/>
    <w:rsid w:val="00F57A80"/>
    <w:rsid w:val="00F57A8B"/>
    <w:rsid w:val="00F61829"/>
    <w:rsid w:val="00F6422C"/>
    <w:rsid w:val="00F66CCB"/>
    <w:rsid w:val="00F7186A"/>
    <w:rsid w:val="00F72322"/>
    <w:rsid w:val="00F723EA"/>
    <w:rsid w:val="00F73188"/>
    <w:rsid w:val="00F7384A"/>
    <w:rsid w:val="00F74B6A"/>
    <w:rsid w:val="00F77882"/>
    <w:rsid w:val="00F8093F"/>
    <w:rsid w:val="00F845DF"/>
    <w:rsid w:val="00F847F8"/>
    <w:rsid w:val="00F84F30"/>
    <w:rsid w:val="00F8513C"/>
    <w:rsid w:val="00F8671B"/>
    <w:rsid w:val="00F9078B"/>
    <w:rsid w:val="00F92A31"/>
    <w:rsid w:val="00F93784"/>
    <w:rsid w:val="00F94CBF"/>
    <w:rsid w:val="00F95BF9"/>
    <w:rsid w:val="00F9638C"/>
    <w:rsid w:val="00F9700F"/>
    <w:rsid w:val="00FA26CA"/>
    <w:rsid w:val="00FA37B3"/>
    <w:rsid w:val="00FA590D"/>
    <w:rsid w:val="00FB3332"/>
    <w:rsid w:val="00FB4F47"/>
    <w:rsid w:val="00FB4FBC"/>
    <w:rsid w:val="00FB58B4"/>
    <w:rsid w:val="00FB7D83"/>
    <w:rsid w:val="00FC09F8"/>
    <w:rsid w:val="00FC0C33"/>
    <w:rsid w:val="00FC0DB7"/>
    <w:rsid w:val="00FC322F"/>
    <w:rsid w:val="00FC3340"/>
    <w:rsid w:val="00FC3D52"/>
    <w:rsid w:val="00FC469B"/>
    <w:rsid w:val="00FC4C0A"/>
    <w:rsid w:val="00FD0AE5"/>
    <w:rsid w:val="00FD29D0"/>
    <w:rsid w:val="00FD31B3"/>
    <w:rsid w:val="00FD705D"/>
    <w:rsid w:val="00FE2A84"/>
    <w:rsid w:val="00FE2C0E"/>
    <w:rsid w:val="00FE518E"/>
    <w:rsid w:val="00FE58FD"/>
    <w:rsid w:val="00FE5CE1"/>
    <w:rsid w:val="00FF1A72"/>
    <w:rsid w:val="00FF2068"/>
    <w:rsid w:val="00FF3AFD"/>
    <w:rsid w:val="00FF3CC7"/>
    <w:rsid w:val="00FF56DF"/>
    <w:rsid w:val="00FF5F56"/>
    <w:rsid w:val="00FF6D3E"/>
    <w:rsid w:val="00FF6EAF"/>
    <w:rsid w:val="288A46A6"/>
    <w:rsid w:val="414A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100" w:beforeLines="100"/>
      <w:outlineLvl w:val="0"/>
    </w:pPr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outlineLvl w:val="1"/>
    </w:pPr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50" w:beforeLines="50" w:after="50" w:afterLines="50"/>
      <w:outlineLvl w:val="2"/>
    </w:pPr>
    <w:rPr>
      <w:rFonts w:ascii="Times New Roman" w:hAnsi="Times New Roman" w:eastAsia="宋体"/>
      <w:b/>
      <w:bCs/>
      <w:szCs w:val="32"/>
    </w:rPr>
  </w:style>
  <w:style w:type="paragraph" w:styleId="5">
    <w:name w:val="heading 4"/>
    <w:basedOn w:val="1"/>
    <w:next w:val="1"/>
    <w:link w:val="19"/>
    <w:unhideWhenUsed/>
    <w:qFormat/>
    <w:uiPriority w:val="9"/>
    <w:pPr>
      <w:keepNext/>
      <w:keepLines/>
      <w:ind w:firstLine="200" w:firstLineChars="200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uiPriority w:val="39"/>
    <w:pPr>
      <w:ind w:left="840" w:leftChars="400"/>
    </w:p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uiPriority w:val="39"/>
    <w:pPr>
      <w:ind w:left="420" w:leftChars="200"/>
    </w:pPr>
  </w:style>
  <w:style w:type="character" w:styleId="12">
    <w:name w:val="Hyperlink"/>
    <w:basedOn w:val="11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1"/>
    <w:link w:val="8"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uiPriority w:val="99"/>
    <w:rPr>
      <w:sz w:val="18"/>
      <w:szCs w:val="18"/>
    </w:rPr>
  </w:style>
  <w:style w:type="character" w:customStyle="1" w:styleId="16">
    <w:name w:val="标题 1 Char"/>
    <w:basedOn w:val="11"/>
    <w:link w:val="2"/>
    <w:uiPriority w:val="9"/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character" w:customStyle="1" w:styleId="17">
    <w:name w:val="标题 2 Char"/>
    <w:basedOn w:val="11"/>
    <w:link w:val="3"/>
    <w:qFormat/>
    <w:uiPriority w:val="9"/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character" w:customStyle="1" w:styleId="18">
    <w:name w:val="标题 3 Char"/>
    <w:basedOn w:val="11"/>
    <w:link w:val="4"/>
    <w:uiPriority w:val="9"/>
    <w:rPr>
      <w:rFonts w:ascii="Times New Roman" w:hAnsi="Times New Roman" w:eastAsia="宋体"/>
      <w:b/>
      <w:bCs/>
      <w:szCs w:val="32"/>
    </w:rPr>
  </w:style>
  <w:style w:type="character" w:customStyle="1" w:styleId="19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Cs w:val="28"/>
    </w:rPr>
  </w:style>
  <w:style w:type="paragraph" w:customStyle="1" w:styleId="20">
    <w:name w:val="TOC Heading"/>
    <w:basedOn w:val="2"/>
    <w:next w:val="1"/>
    <w:unhideWhenUsed/>
    <w:qFormat/>
    <w:uiPriority w:val="39"/>
    <w:pPr>
      <w:widowControl/>
      <w:spacing w:before="240" w:beforeLines="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2E75B6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5" Type="http://schemas.openxmlformats.org/officeDocument/2006/relationships/fontTable" Target="fontTable.xml"/><Relationship Id="rId54" Type="http://schemas.openxmlformats.org/officeDocument/2006/relationships/customXml" Target="../customXml/item2.xml"/><Relationship Id="rId53" Type="http://schemas.openxmlformats.org/officeDocument/2006/relationships/customXml" Target="../customXml/item1.xml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A6CCA4-81B1-4A29-B960-2AABB1E6A0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1090</Words>
  <Characters>6213</Characters>
  <Lines>51</Lines>
  <Paragraphs>14</Paragraphs>
  <TotalTime>1884</TotalTime>
  <ScaleCrop>false</ScaleCrop>
  <LinksUpToDate>false</LinksUpToDate>
  <CharactersWithSpaces>7289</CharactersWithSpaces>
  <Application>WPS Office_11.1.0.7811_F1E327BC-269C-435d-A152-05C5408002CA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2018-08-27T01:56:00Z</dcterms:created>
  <dc:creator>shenyanhbxf@126.com</dc:creator>
  <cp:lastModifiedBy>lsw7131</cp:lastModifiedBy>
  <dcterms:modified xsi:type="dcterms:W3CDTF">2018-09-11T22:37:44Z</dcterms:modified>
  <cp:revision>4791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2052-11.1.0.7811</vt:lpwstr>
  </property>
</Properties>
</file>